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0D481" w14:textId="77777777" w:rsidR="00C4054F" w:rsidRDefault="00C4054F" w:rsidP="00A71B7C">
      <w:pPr>
        <w:pStyle w:val="Standard"/>
        <w:rPr>
          <w:b/>
          <w:sz w:val="48"/>
          <w:szCs w:val="48"/>
        </w:rPr>
      </w:pPr>
    </w:p>
    <w:p w14:paraId="42253134" w14:textId="77777777" w:rsidR="00C4054F" w:rsidRDefault="00C4054F">
      <w:pPr>
        <w:pStyle w:val="Standard"/>
        <w:jc w:val="center"/>
        <w:rPr>
          <w:b/>
          <w:sz w:val="48"/>
          <w:szCs w:val="48"/>
        </w:rPr>
      </w:pPr>
    </w:p>
    <w:p w14:paraId="27DD77A7" w14:textId="77777777" w:rsidR="00C4054F" w:rsidRDefault="00A71B7C">
      <w:pPr>
        <w:pStyle w:val="Standard"/>
        <w:jc w:val="center"/>
      </w:pPr>
      <w:r>
        <w:rPr>
          <w:b/>
          <w:sz w:val="48"/>
          <w:szCs w:val="48"/>
        </w:rPr>
        <w:t>Kravspesifikasjon</w:t>
      </w:r>
    </w:p>
    <w:p w14:paraId="7643FA63" w14:textId="77777777" w:rsidR="00C4054F" w:rsidRDefault="00C4054F">
      <w:pPr>
        <w:pStyle w:val="Standard"/>
        <w:jc w:val="center"/>
        <w:rPr>
          <w:b/>
          <w:sz w:val="40"/>
          <w:szCs w:val="40"/>
        </w:rPr>
      </w:pPr>
    </w:p>
    <w:p w14:paraId="28E99510" w14:textId="77777777" w:rsidR="00C4054F" w:rsidRDefault="00C4054F">
      <w:pPr>
        <w:pStyle w:val="Standard"/>
        <w:jc w:val="center"/>
        <w:rPr>
          <w:b/>
          <w:sz w:val="40"/>
          <w:szCs w:val="40"/>
        </w:rPr>
      </w:pPr>
    </w:p>
    <w:p w14:paraId="24084C46" w14:textId="77777777" w:rsidR="00C4054F" w:rsidRDefault="00C4054F">
      <w:pPr>
        <w:pStyle w:val="Standard"/>
        <w:jc w:val="center"/>
        <w:rPr>
          <w:b/>
          <w:sz w:val="40"/>
          <w:szCs w:val="40"/>
        </w:rPr>
      </w:pPr>
    </w:p>
    <w:p w14:paraId="6D62DB84" w14:textId="77777777" w:rsidR="00C4054F" w:rsidRDefault="00A71B7C">
      <w:pPr>
        <w:pStyle w:val="Standard"/>
        <w:jc w:val="center"/>
      </w:pPr>
      <w:r>
        <w:rPr>
          <w:b/>
          <w:sz w:val="40"/>
          <w:szCs w:val="40"/>
        </w:rPr>
        <w:t>KONKURRANSE</w:t>
      </w:r>
    </w:p>
    <w:p w14:paraId="048C38BD" w14:textId="77777777" w:rsidR="00C4054F" w:rsidRDefault="00C4054F">
      <w:pPr>
        <w:pStyle w:val="Standard"/>
        <w:jc w:val="center"/>
        <w:rPr>
          <w:b/>
          <w:sz w:val="40"/>
          <w:szCs w:val="40"/>
        </w:rPr>
      </w:pPr>
    </w:p>
    <w:p w14:paraId="12695FCA" w14:textId="04F43FED" w:rsidR="00C4054F" w:rsidRDefault="00A71B7C">
      <w:pPr>
        <w:pStyle w:val="Standard"/>
        <w:jc w:val="center"/>
      </w:pPr>
      <w:r>
        <w:rPr>
          <w:b/>
          <w:sz w:val="40"/>
          <w:szCs w:val="40"/>
        </w:rPr>
        <w:t xml:space="preserve">FOR INNGÅELSE AV TILVISNINGSAVTALER FOR UTLEIEBOLIGER TIL </w:t>
      </w:r>
      <w:r w:rsidR="003B4CF6">
        <w:rPr>
          <w:b/>
          <w:sz w:val="40"/>
          <w:szCs w:val="40"/>
        </w:rPr>
        <w:t xml:space="preserve">EGNE ANSATTE OG </w:t>
      </w:r>
      <w:r>
        <w:rPr>
          <w:b/>
          <w:sz w:val="40"/>
          <w:szCs w:val="40"/>
        </w:rPr>
        <w:t xml:space="preserve">VANSKELIGSTILTE </w:t>
      </w:r>
      <w:r w:rsidR="001F6414">
        <w:rPr>
          <w:b/>
          <w:sz w:val="40"/>
          <w:szCs w:val="40"/>
        </w:rPr>
        <w:t xml:space="preserve">PÅ BOLIGMARKEDET </w:t>
      </w:r>
      <w:r>
        <w:rPr>
          <w:b/>
          <w:sz w:val="40"/>
          <w:szCs w:val="40"/>
        </w:rPr>
        <w:t xml:space="preserve">I </w:t>
      </w:r>
      <w:r w:rsidR="003B4CF6">
        <w:rPr>
          <w:b/>
          <w:sz w:val="40"/>
          <w:szCs w:val="40"/>
        </w:rPr>
        <w:t>FRØYA</w:t>
      </w:r>
      <w:r>
        <w:rPr>
          <w:b/>
          <w:sz w:val="40"/>
          <w:szCs w:val="40"/>
        </w:rPr>
        <w:t xml:space="preserve"> KOMMUNE</w:t>
      </w:r>
    </w:p>
    <w:p w14:paraId="6F8C738A" w14:textId="77777777" w:rsidR="00C4054F" w:rsidRDefault="00C4054F">
      <w:pPr>
        <w:pStyle w:val="Standard"/>
        <w:jc w:val="center"/>
        <w:rPr>
          <w:b/>
          <w:sz w:val="40"/>
          <w:szCs w:val="40"/>
        </w:rPr>
      </w:pPr>
    </w:p>
    <w:p w14:paraId="7A3966F2" w14:textId="77777777" w:rsidR="00C4054F" w:rsidRDefault="00C4054F">
      <w:pPr>
        <w:pStyle w:val="Standard"/>
      </w:pPr>
    </w:p>
    <w:p w14:paraId="072F4ED3" w14:textId="77777777" w:rsidR="00C4054F" w:rsidRDefault="00C4054F">
      <w:pPr>
        <w:pStyle w:val="Standard"/>
      </w:pPr>
    </w:p>
    <w:p w14:paraId="3CEFA056" w14:textId="5FCD2EF2" w:rsidR="00C4054F" w:rsidRDefault="00F01A46" w:rsidP="00A71B7C">
      <w:pPr>
        <w:pStyle w:val="Overskrift1"/>
        <w:jc w:val="center"/>
        <w:rPr>
          <w:rFonts w:ascii="Times New Roman" w:hAnsi="Times New Roman"/>
          <w:caps/>
          <w:sz w:val="28"/>
        </w:rPr>
      </w:pPr>
      <w:r>
        <w:rPr>
          <w:noProof/>
        </w:rPr>
        <w:drawing>
          <wp:inline distT="0" distB="0" distL="0" distR="0" wp14:anchorId="1FBCF1E5" wp14:editId="4F459DAD">
            <wp:extent cx="4051459" cy="4029075"/>
            <wp:effectExtent l="0" t="0" r="6350" b="0"/>
            <wp:docPr id="4" name="Bilde 4" descr="Vector illustration of brown house with large windows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illustration of brown house with large windows | Public domain  vect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762" cy="4042304"/>
                    </a:xfrm>
                    <a:prstGeom prst="rect">
                      <a:avLst/>
                    </a:prstGeom>
                    <a:noFill/>
                    <a:ln>
                      <a:noFill/>
                    </a:ln>
                  </pic:spPr>
                </pic:pic>
              </a:graphicData>
            </a:graphic>
          </wp:inline>
        </w:drawing>
      </w:r>
    </w:p>
    <w:p w14:paraId="4FE6D91C" w14:textId="77777777" w:rsidR="00C4054F" w:rsidRDefault="00A71B7C">
      <w:pPr>
        <w:pStyle w:val="Standard"/>
        <w:pageBreakBefore/>
      </w:pPr>
      <w:r>
        <w:rPr>
          <w:b/>
        </w:rPr>
        <w:lastRenderedPageBreak/>
        <w:t>1 Formål med dokumentet</w:t>
      </w:r>
    </w:p>
    <w:p w14:paraId="6623E727" w14:textId="77777777" w:rsidR="00C4054F" w:rsidRDefault="00C4054F">
      <w:pPr>
        <w:pStyle w:val="Standard"/>
      </w:pPr>
    </w:p>
    <w:p w14:paraId="0A67B729" w14:textId="48248444" w:rsidR="00C4054F" w:rsidRDefault="00A71B7C">
      <w:pPr>
        <w:pStyle w:val="Standard"/>
      </w:pPr>
      <w:r>
        <w:t xml:space="preserve">Kravspesifikasjonen tar for seg de krav </w:t>
      </w:r>
      <w:r w:rsidR="00CD284D">
        <w:t xml:space="preserve">som </w:t>
      </w:r>
      <w:r>
        <w:t>stilles til boligene som tilbys, samt til leverandørens oppfølging av bomiljøet.</w:t>
      </w:r>
    </w:p>
    <w:p w14:paraId="47EA5A43" w14:textId="432EDD8E" w:rsidR="00C4054F" w:rsidRDefault="00A71B7C">
      <w:pPr>
        <w:pStyle w:val="Overskrift1"/>
      </w:pPr>
      <w:r>
        <w:rPr>
          <w:rFonts w:ascii="Times New Roman" w:hAnsi="Times New Roman" w:cs="Times New Roman"/>
          <w:sz w:val="24"/>
          <w:szCs w:val="24"/>
        </w:rPr>
        <w:t xml:space="preserve">2 Om </w:t>
      </w:r>
      <w:r w:rsidR="00F01A46">
        <w:rPr>
          <w:rFonts w:ascii="Times New Roman" w:hAnsi="Times New Roman" w:cs="Times New Roman"/>
          <w:sz w:val="24"/>
          <w:szCs w:val="24"/>
        </w:rPr>
        <w:t>Frøya</w:t>
      </w:r>
      <w:r>
        <w:rPr>
          <w:rFonts w:ascii="Times New Roman" w:hAnsi="Times New Roman" w:cs="Times New Roman"/>
          <w:sz w:val="24"/>
          <w:szCs w:val="24"/>
        </w:rPr>
        <w:t xml:space="preserve"> kommunes behov for boliger </w:t>
      </w:r>
    </w:p>
    <w:p w14:paraId="0495A94A" w14:textId="77777777" w:rsidR="00C4054F" w:rsidRDefault="00C4054F">
      <w:pPr>
        <w:pStyle w:val="Standard"/>
      </w:pPr>
    </w:p>
    <w:p w14:paraId="7C8C3367" w14:textId="3089DB0A" w:rsidR="00C4054F" w:rsidRDefault="00B621A2">
      <w:pPr>
        <w:pStyle w:val="Standard"/>
      </w:pPr>
      <w:r>
        <w:t xml:space="preserve">Frøya </w:t>
      </w:r>
      <w:r w:rsidR="00A71B7C">
        <w:t xml:space="preserve">kommune har til enhver tid behov for boliger til </w:t>
      </w:r>
      <w:r w:rsidR="00F01A46">
        <w:t xml:space="preserve">egne ansatte og </w:t>
      </w:r>
      <w:r w:rsidR="00A71B7C">
        <w:t>vanskeligstilte på boligmarkedet og ønsker å inngå tilvisningsavtale med en eller flere utleieaktører for å dekke dette behovet. Med vanskeligstilte forstås i denne sammenheng personer som av ulike årsaker har utfordringer med å skaffe seg gode og stabile boforhold.</w:t>
      </w:r>
    </w:p>
    <w:p w14:paraId="299CE71D" w14:textId="77777777" w:rsidR="00C4054F" w:rsidRDefault="00C4054F">
      <w:pPr>
        <w:pStyle w:val="Standard"/>
        <w:rPr>
          <w:shd w:val="clear" w:color="auto" w:fill="FFFF00"/>
        </w:rPr>
      </w:pPr>
    </w:p>
    <w:p w14:paraId="035AFE35" w14:textId="77777777" w:rsidR="00C4054F" w:rsidRDefault="00A71B7C">
      <w:pPr>
        <w:pStyle w:val="Standard"/>
      </w:pPr>
      <w:r>
        <w:rPr>
          <w:b/>
          <w:bCs/>
        </w:rPr>
        <w:t>3 Nærmere om tilvisningsavtaler </w:t>
      </w:r>
    </w:p>
    <w:p w14:paraId="54D6F358" w14:textId="77777777" w:rsidR="00C4054F" w:rsidRDefault="00C4054F">
      <w:pPr>
        <w:pStyle w:val="Standard"/>
        <w:rPr>
          <w:b/>
          <w:bCs/>
        </w:rPr>
      </w:pPr>
    </w:p>
    <w:p w14:paraId="55426ABB" w14:textId="77777777" w:rsidR="00C4054F" w:rsidRDefault="00A71B7C">
      <w:pPr>
        <w:pStyle w:val="Standard"/>
      </w:pPr>
      <w:r>
        <w:rPr>
          <w:bCs/>
        </w:rPr>
        <w:t>Tilvisningsavtaler er en ny avtaleform som kommer i tillegg til kommunens ordinære boligfremskaffelse.</w:t>
      </w:r>
    </w:p>
    <w:p w14:paraId="70057A1F" w14:textId="77777777" w:rsidR="00C4054F" w:rsidRDefault="00C4054F">
      <w:pPr>
        <w:pStyle w:val="Standard"/>
        <w:rPr>
          <w:bCs/>
        </w:rPr>
      </w:pPr>
    </w:p>
    <w:p w14:paraId="1D2AF093" w14:textId="77777777" w:rsidR="00C4054F" w:rsidRDefault="00A71B7C">
      <w:pPr>
        <w:pStyle w:val="Standard"/>
      </w:pPr>
      <w:r>
        <w:rPr>
          <w:bCs/>
        </w:rPr>
        <w:t>Boligene med tilvisningsrett er beregnet for boligsøkere som har behov for hjelp fra kommunen til å finne en egnet bolig.</w:t>
      </w:r>
    </w:p>
    <w:p w14:paraId="135BEDE1" w14:textId="77777777" w:rsidR="00C4054F" w:rsidRDefault="00C4054F">
      <w:pPr>
        <w:pStyle w:val="Standard"/>
        <w:rPr>
          <w:bCs/>
        </w:rPr>
      </w:pPr>
    </w:p>
    <w:p w14:paraId="48C1863D" w14:textId="77777777" w:rsidR="00C4054F" w:rsidRDefault="00A71B7C">
      <w:pPr>
        <w:pStyle w:val="Standard"/>
      </w:pPr>
      <w:r>
        <w:rPr>
          <w:bCs/>
        </w:rPr>
        <w:t>En tilvisningsavtale gir kommunen rett til å henvise boligsøkere til de boligene som er omfattet av avtalene, mens det enkelte leieforhold er regulert gjennom ordinær leieavtale etter husleielovens bestemmelser mellom utleier og den enkelte leietaker som er tilvist fra kommunen, dog slik at leteakerne tilbys leiekontrakter med minimum tre års leietid. Selve tilvisningsavtalen mellom utleier og kommunen har en varighet på 20 år.</w:t>
      </w:r>
    </w:p>
    <w:p w14:paraId="4347A029" w14:textId="77777777" w:rsidR="00C4054F" w:rsidRDefault="00C4054F">
      <w:pPr>
        <w:pStyle w:val="Standard"/>
        <w:rPr>
          <w:bCs/>
        </w:rPr>
      </w:pPr>
    </w:p>
    <w:p w14:paraId="2DD8221B" w14:textId="77777777" w:rsidR="00C4054F" w:rsidRDefault="00A71B7C">
      <w:pPr>
        <w:pStyle w:val="Standard"/>
      </w:pPr>
      <w:r>
        <w:rPr>
          <w:bCs/>
        </w:rPr>
        <w:t>Gjennom tilvisningsavtalen skal kommunen ha tilvisningsrett til alle boligene i et konkret prosjekt, men tilvisningsretten er til enhver tid oppad begrenset til 40 % dersom det er søkt/skal søkes og innvilges grunnlån fra Husbanken. I andre tilfeller, kan annen prosentandel av tilvisningsboliger vurderes.</w:t>
      </w:r>
    </w:p>
    <w:p w14:paraId="57A13E26" w14:textId="77777777" w:rsidR="00C4054F" w:rsidRDefault="00C4054F">
      <w:pPr>
        <w:pStyle w:val="Standard"/>
        <w:rPr>
          <w:bCs/>
        </w:rPr>
      </w:pPr>
    </w:p>
    <w:p w14:paraId="5FDA1790" w14:textId="77777777" w:rsidR="00C4054F" w:rsidRDefault="00C4054F">
      <w:pPr>
        <w:pStyle w:val="Standard"/>
        <w:rPr>
          <w:bCs/>
        </w:rPr>
      </w:pPr>
    </w:p>
    <w:p w14:paraId="4CC6CE65" w14:textId="77777777" w:rsidR="00C4054F" w:rsidRPr="008C3BC5" w:rsidRDefault="00A71B7C">
      <w:pPr>
        <w:pStyle w:val="Standard"/>
        <w:rPr>
          <w:b/>
          <w:bCs/>
        </w:rPr>
      </w:pPr>
      <w:r w:rsidRPr="008C3BC5">
        <w:rPr>
          <w:b/>
          <w:bCs/>
        </w:rPr>
        <w:t>4. Grunnlån</w:t>
      </w:r>
    </w:p>
    <w:p w14:paraId="01E8E5CB" w14:textId="77777777" w:rsidR="00C4054F" w:rsidRDefault="00C4054F">
      <w:pPr>
        <w:pStyle w:val="Standard"/>
        <w:rPr>
          <w:bCs/>
        </w:rPr>
      </w:pPr>
    </w:p>
    <w:p w14:paraId="5EC43BD7" w14:textId="77777777" w:rsidR="00C4054F" w:rsidRDefault="00A71B7C">
      <w:pPr>
        <w:pStyle w:val="Standard"/>
      </w:pPr>
      <w:r>
        <w:rPr>
          <w:bCs/>
        </w:rPr>
        <w:t>En tilvisningsavtale med k</w:t>
      </w:r>
      <w:bookmarkStart w:id="0" w:name="_GoBack"/>
      <w:bookmarkEnd w:id="0"/>
      <w:r>
        <w:rPr>
          <w:bCs/>
        </w:rPr>
        <w:t>ommunen vil kunne gi utleier gunstig finansiering fra Husbanken.</w:t>
      </w:r>
    </w:p>
    <w:p w14:paraId="29388F8F" w14:textId="77777777" w:rsidR="00C4054F" w:rsidRDefault="00C4054F">
      <w:pPr>
        <w:pStyle w:val="Standard"/>
        <w:rPr>
          <w:bCs/>
        </w:rPr>
      </w:pPr>
    </w:p>
    <w:p w14:paraId="79E8335E" w14:textId="77777777" w:rsidR="00C4054F" w:rsidRDefault="00A71B7C">
      <w:pPr>
        <w:pStyle w:val="Standard"/>
      </w:pPr>
      <w:r>
        <w:rPr>
          <w:bCs/>
        </w:rPr>
        <w:t xml:space="preserve">Ved oppføring, oppgradering, ombygging og kjøp av utleieboliger der kommunen inngår tilvisning- og samarbeidsavtale med utleier/ selskap kan det gis grunnlån med inntil 85 % av prosjektkostnadene.  </w:t>
      </w:r>
    </w:p>
    <w:p w14:paraId="5C0795DB" w14:textId="77777777" w:rsidR="00C4054F" w:rsidRDefault="00C4054F">
      <w:pPr>
        <w:pStyle w:val="Standard"/>
        <w:rPr>
          <w:bCs/>
        </w:rPr>
      </w:pPr>
    </w:p>
    <w:p w14:paraId="2A0CE460" w14:textId="77777777" w:rsidR="00C4054F" w:rsidRDefault="00A71B7C">
      <w:pPr>
        <w:pStyle w:val="Standard"/>
      </w:pPr>
      <w:r>
        <w:rPr>
          <w:bCs/>
        </w:rPr>
        <w:t>Lån gis som annuitetslån med inntil 50 års løpetid, og eventuelt med ett års avdragsfri periode. Husbanken kan tilby flytende rente eller fastrente.</w:t>
      </w:r>
    </w:p>
    <w:p w14:paraId="4BA20D58" w14:textId="77777777" w:rsidR="00C4054F" w:rsidRDefault="00C4054F">
      <w:pPr>
        <w:pStyle w:val="Standard"/>
        <w:rPr>
          <w:bCs/>
        </w:rPr>
      </w:pPr>
    </w:p>
    <w:p w14:paraId="22E6B3F9" w14:textId="77777777" w:rsidR="00C4054F" w:rsidRDefault="00A71B7C">
      <w:pPr>
        <w:pStyle w:val="Standard"/>
      </w:pPr>
      <w:r>
        <w:rPr>
          <w:bCs/>
        </w:rPr>
        <w:t>For å få innvilget lån forutsettes det at selskapet driver profesjonell utleie/har planer om og har som formål å eie, forvalte og leie ut boliger. Dette må dokumenteres med firmaattest og en beskrivelse av utleieselskapet.</w:t>
      </w:r>
    </w:p>
    <w:p w14:paraId="07932A7B" w14:textId="77777777" w:rsidR="00C4054F" w:rsidRDefault="00C4054F">
      <w:pPr>
        <w:pStyle w:val="Standard"/>
        <w:rPr>
          <w:bCs/>
        </w:rPr>
      </w:pPr>
    </w:p>
    <w:p w14:paraId="33D16E0D" w14:textId="77777777" w:rsidR="00C4054F" w:rsidRDefault="00A71B7C">
      <w:pPr>
        <w:pStyle w:val="Standard"/>
      </w:pPr>
      <w:r>
        <w:rPr>
          <w:bCs/>
        </w:rPr>
        <w:t>Forøvrig gjelder disse lånevilkårene for grunnlån med tilvisingsavtale:</w:t>
      </w:r>
    </w:p>
    <w:p w14:paraId="0477B980" w14:textId="77777777" w:rsidR="00C4054F" w:rsidRDefault="00A71B7C">
      <w:pPr>
        <w:pStyle w:val="Listeavsnitt"/>
        <w:numPr>
          <w:ilvl w:val="0"/>
          <w:numId w:val="14"/>
        </w:numPr>
      </w:pPr>
      <w:r>
        <w:rPr>
          <w:rFonts w:ascii="Times New Roman" w:hAnsi="Times New Roman"/>
          <w:bCs/>
        </w:rPr>
        <w:t>Utleiefirmaet og boligsøker skal inngå leiekontrakt etter husleielovens bestemmelser.</w:t>
      </w:r>
    </w:p>
    <w:p w14:paraId="00140FA3" w14:textId="77777777" w:rsidR="00C4054F" w:rsidRPr="00995BC8" w:rsidRDefault="00A71B7C" w:rsidP="00995BC8">
      <w:pPr>
        <w:pStyle w:val="Listeavsnitt"/>
        <w:numPr>
          <w:ilvl w:val="6"/>
          <w:numId w:val="14"/>
        </w:numPr>
        <w:rPr>
          <w:rFonts w:ascii="Times New Roman" w:hAnsi="Times New Roman"/>
          <w:bCs/>
        </w:rPr>
      </w:pPr>
      <w:r>
        <w:rPr>
          <w:rFonts w:ascii="Times New Roman" w:hAnsi="Times New Roman"/>
          <w:bCs/>
        </w:rPr>
        <w:lastRenderedPageBreak/>
        <w:t>Utleier skal benytte balanserte leiekontrakter, det vil si kontrakter som sikrer begge partenes interesser.</w:t>
      </w:r>
    </w:p>
    <w:p w14:paraId="1CA8932B" w14:textId="47A18CF5" w:rsidR="00C4054F" w:rsidRPr="00995BC8" w:rsidRDefault="00A71B7C" w:rsidP="00995BC8">
      <w:pPr>
        <w:pStyle w:val="Listeavsnitt"/>
        <w:numPr>
          <w:ilvl w:val="0"/>
          <w:numId w:val="14"/>
        </w:numPr>
        <w:rPr>
          <w:rFonts w:ascii="Times New Roman" w:hAnsi="Times New Roman"/>
          <w:bCs/>
        </w:rPr>
      </w:pPr>
      <w:r>
        <w:rPr>
          <w:rFonts w:ascii="Times New Roman" w:hAnsi="Times New Roman"/>
          <w:bCs/>
        </w:rPr>
        <w:t>Leietakerne i boligene som ikke disponeres av kommunen skal tilbys tre års leiekontrakter.</w:t>
      </w:r>
    </w:p>
    <w:p w14:paraId="0A229FE2" w14:textId="77777777" w:rsidR="00C4054F" w:rsidRPr="00995BC8" w:rsidRDefault="00A71B7C" w:rsidP="00995BC8">
      <w:pPr>
        <w:pStyle w:val="Listeavsnitt"/>
        <w:numPr>
          <w:ilvl w:val="0"/>
          <w:numId w:val="14"/>
        </w:numPr>
        <w:rPr>
          <w:rFonts w:ascii="Times New Roman" w:hAnsi="Times New Roman"/>
          <w:bCs/>
        </w:rPr>
      </w:pPr>
      <w:r w:rsidRPr="00995BC8">
        <w:rPr>
          <w:rFonts w:ascii="Times New Roman" w:hAnsi="Times New Roman"/>
          <w:bCs/>
        </w:rPr>
        <w:t>Utleieren må godta garantier fra NAV eller kommunen som sikkerhet for depositumet.</w:t>
      </w:r>
    </w:p>
    <w:p w14:paraId="6D5C583F" w14:textId="77777777" w:rsidR="00C4054F" w:rsidRPr="00995BC8" w:rsidRDefault="00A71B7C" w:rsidP="00995BC8">
      <w:pPr>
        <w:pStyle w:val="Listeavsnitt"/>
        <w:numPr>
          <w:ilvl w:val="0"/>
          <w:numId w:val="14"/>
        </w:numPr>
        <w:rPr>
          <w:rFonts w:ascii="Times New Roman" w:hAnsi="Times New Roman"/>
          <w:bCs/>
        </w:rPr>
      </w:pPr>
      <w:r w:rsidRPr="00995BC8">
        <w:rPr>
          <w:rFonts w:ascii="Times New Roman" w:hAnsi="Times New Roman"/>
          <w:bCs/>
        </w:rPr>
        <w:t>Det skal utarbeides et driftsbudsjett som viser:</w:t>
      </w:r>
    </w:p>
    <w:p w14:paraId="0AB25D1B"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Husleieinntekter</w:t>
      </w:r>
    </w:p>
    <w:p w14:paraId="77AA7DCB"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Predikert ledighet</w:t>
      </w:r>
    </w:p>
    <w:p w14:paraId="62A8BC4C"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FDV-kostnader</w:t>
      </w:r>
    </w:p>
    <w:p w14:paraId="7E4C8AA5"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Forvaltning</w:t>
      </w:r>
    </w:p>
    <w:p w14:paraId="596FD061"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Drift</w:t>
      </w:r>
    </w:p>
    <w:p w14:paraId="3199FD92"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Vedlikehold</w:t>
      </w:r>
    </w:p>
    <w:p w14:paraId="7BA185D4"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Finansiering</w:t>
      </w:r>
    </w:p>
    <w:p w14:paraId="7E981444"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Rente</w:t>
      </w:r>
    </w:p>
    <w:p w14:paraId="2B4E7774"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Avdrag</w:t>
      </w:r>
    </w:p>
    <w:p w14:paraId="7C4975A1" w14:textId="77777777" w:rsidR="00C4054F" w:rsidRPr="00995BC8" w:rsidRDefault="00A71B7C" w:rsidP="00995BC8">
      <w:pPr>
        <w:pStyle w:val="Listeavsnitt"/>
        <w:numPr>
          <w:ilvl w:val="1"/>
          <w:numId w:val="14"/>
        </w:numPr>
        <w:ind w:left="1710" w:hanging="360"/>
        <w:rPr>
          <w:rFonts w:ascii="Times New Roman" w:hAnsi="Times New Roman"/>
          <w:bCs/>
        </w:rPr>
      </w:pPr>
      <w:r w:rsidRPr="00995BC8">
        <w:rPr>
          <w:rFonts w:ascii="Times New Roman" w:hAnsi="Times New Roman"/>
          <w:bCs/>
        </w:rPr>
        <w:t>Skatt</w:t>
      </w:r>
    </w:p>
    <w:p w14:paraId="29328F2F" w14:textId="77777777" w:rsidR="00A71B7C" w:rsidRDefault="00A71B7C" w:rsidP="00A71B7C">
      <w:pPr>
        <w:pStyle w:val="Listeavsnitt"/>
      </w:pPr>
    </w:p>
    <w:p w14:paraId="13ABD4EB" w14:textId="77777777" w:rsidR="00C4054F" w:rsidRDefault="00A71B7C" w:rsidP="00A71B7C">
      <w:pPr>
        <w:pStyle w:val="Standard"/>
      </w:pPr>
      <w:r>
        <w:rPr>
          <w:bCs/>
        </w:rPr>
        <w:t>Kontantstrøm</w:t>
      </w:r>
    </w:p>
    <w:p w14:paraId="421402DA" w14:textId="77777777" w:rsidR="00C4054F" w:rsidRDefault="00C4054F">
      <w:pPr>
        <w:pStyle w:val="Standard"/>
        <w:rPr>
          <w:bCs/>
        </w:rPr>
      </w:pPr>
    </w:p>
    <w:p w14:paraId="14BE49FA" w14:textId="77777777" w:rsidR="00C4054F" w:rsidRDefault="00A71B7C">
      <w:pPr>
        <w:pStyle w:val="Standard"/>
      </w:pPr>
      <w:r>
        <w:rPr>
          <w:rFonts w:eastAsia="Calibri"/>
          <w:bCs/>
        </w:rPr>
        <w:t>Det tas forbehold om tilgjengelige midler.</w:t>
      </w:r>
    </w:p>
    <w:p w14:paraId="6328BB0F" w14:textId="77777777" w:rsidR="00C4054F" w:rsidRDefault="00C4054F">
      <w:pPr>
        <w:pStyle w:val="Standard"/>
        <w:rPr>
          <w:bCs/>
        </w:rPr>
      </w:pPr>
    </w:p>
    <w:p w14:paraId="2C9D13FB" w14:textId="77777777" w:rsidR="00C4054F" w:rsidRDefault="00A71B7C">
      <w:pPr>
        <w:pStyle w:val="Standard"/>
      </w:pPr>
      <w:r>
        <w:rPr>
          <w:bCs/>
        </w:rPr>
        <w:t>Dersom leverandøren ønsker å søke grunnlån til prosjektet må følgende vedlegges tilbudet:</w:t>
      </w:r>
    </w:p>
    <w:p w14:paraId="21143C62" w14:textId="77777777" w:rsidR="00C4054F" w:rsidRDefault="00C4054F">
      <w:pPr>
        <w:pStyle w:val="Standard"/>
        <w:ind w:left="360"/>
      </w:pPr>
    </w:p>
    <w:p w14:paraId="205D37EC" w14:textId="77777777" w:rsidR="00C4054F" w:rsidRDefault="00A71B7C">
      <w:pPr>
        <w:pStyle w:val="Standard"/>
        <w:numPr>
          <w:ilvl w:val="1"/>
          <w:numId w:val="13"/>
        </w:numPr>
      </w:pPr>
      <w:r>
        <w:t>Tegninger (situasjonsplan, plan, snitt og fasadetegninger)</w:t>
      </w:r>
    </w:p>
    <w:p w14:paraId="333714AE" w14:textId="77777777" w:rsidR="00C4054F" w:rsidRDefault="00A71B7C">
      <w:pPr>
        <w:pStyle w:val="Standard"/>
        <w:numPr>
          <w:ilvl w:val="1"/>
          <w:numId w:val="13"/>
        </w:numPr>
      </w:pPr>
      <w:r>
        <w:t>Byggebeskrivelse</w:t>
      </w:r>
    </w:p>
    <w:p w14:paraId="632116AC" w14:textId="77777777" w:rsidR="00C4054F" w:rsidRDefault="00A71B7C">
      <w:pPr>
        <w:pStyle w:val="Standard"/>
        <w:numPr>
          <w:ilvl w:val="1"/>
          <w:numId w:val="13"/>
        </w:numPr>
      </w:pPr>
      <w:r>
        <w:t>Driftsbudsjett</w:t>
      </w:r>
    </w:p>
    <w:p w14:paraId="076FBEEC" w14:textId="77777777" w:rsidR="00C4054F" w:rsidRDefault="00A71B7C">
      <w:pPr>
        <w:pStyle w:val="Standard"/>
        <w:numPr>
          <w:ilvl w:val="1"/>
          <w:numId w:val="13"/>
        </w:numPr>
      </w:pPr>
      <w:r>
        <w:t>Takst (ved kjøp av eksisterende boliger)</w:t>
      </w:r>
    </w:p>
    <w:p w14:paraId="64FC0F91" w14:textId="77777777" w:rsidR="00C4054F" w:rsidRDefault="00C4054F">
      <w:pPr>
        <w:pStyle w:val="Standard"/>
      </w:pPr>
    </w:p>
    <w:p w14:paraId="34EE117B" w14:textId="77777777" w:rsidR="00C4054F" w:rsidRDefault="00A71B7C">
      <w:pPr>
        <w:pStyle w:val="Standard"/>
      </w:pPr>
      <w:r>
        <w:t>Husbanken skal frembringe gode boliger i gode og trygge bomiljø. Det fysiske miljøet betyr mye for trivsel, sosial trygghet og livskvalitet. Disse kvalitetene skal være sikret i prosjekt Husbanken finansierer.</w:t>
      </w:r>
    </w:p>
    <w:p w14:paraId="2C21736D" w14:textId="33DD2A9C" w:rsidR="00C4054F" w:rsidRDefault="00A71B7C">
      <w:pPr>
        <w:pStyle w:val="Standard"/>
      </w:pPr>
      <w:r>
        <w:t xml:space="preserve">Ved behov kan </w:t>
      </w:r>
      <w:r w:rsidR="00F01A46">
        <w:t>Frøya</w:t>
      </w:r>
      <w:r>
        <w:t xml:space="preserve"> kommune inngå avtale med flere aktører.</w:t>
      </w:r>
    </w:p>
    <w:p w14:paraId="1A55EAFA" w14:textId="77777777" w:rsidR="00C4054F" w:rsidRDefault="00C4054F">
      <w:pPr>
        <w:pStyle w:val="Standard"/>
      </w:pPr>
    </w:p>
    <w:p w14:paraId="6D242C25" w14:textId="77777777" w:rsidR="00A71B7C" w:rsidRDefault="00A71B7C">
      <w:pPr>
        <w:pStyle w:val="Standard"/>
      </w:pPr>
    </w:p>
    <w:p w14:paraId="1FBE718B" w14:textId="77777777" w:rsidR="00A71B7C" w:rsidRDefault="00A71B7C">
      <w:pPr>
        <w:pStyle w:val="Standard"/>
      </w:pPr>
    </w:p>
    <w:p w14:paraId="68169CC3" w14:textId="77777777" w:rsidR="00A71B7C" w:rsidRDefault="00A71B7C">
      <w:pPr>
        <w:pStyle w:val="Standard"/>
      </w:pPr>
    </w:p>
    <w:p w14:paraId="4688D8AE" w14:textId="77777777" w:rsidR="00C4054F" w:rsidRDefault="00A71B7C">
      <w:pPr>
        <w:pStyle w:val="Overskrift1"/>
      </w:pPr>
      <w:r>
        <w:rPr>
          <w:rFonts w:ascii="Times New Roman" w:hAnsi="Times New Roman" w:cs="Times New Roman"/>
          <w:sz w:val="24"/>
          <w:szCs w:val="24"/>
        </w:rPr>
        <w:lastRenderedPageBreak/>
        <w:t>4 Krav til boligene</w:t>
      </w:r>
    </w:p>
    <w:p w14:paraId="0AED5E03" w14:textId="77777777" w:rsidR="00C4054F" w:rsidRDefault="00C4054F">
      <w:pPr>
        <w:pStyle w:val="Standard"/>
      </w:pPr>
    </w:p>
    <w:p w14:paraId="4F3C418D" w14:textId="71940FB9" w:rsidR="00C4054F" w:rsidRDefault="00F01A46">
      <w:pPr>
        <w:pStyle w:val="Standard"/>
      </w:pPr>
      <w:r>
        <w:t>Frøya</w:t>
      </w:r>
      <w:r w:rsidR="00A71B7C">
        <w:t xml:space="preserve"> kommune stiller som krav at boligene er av god kvalitet, og har en hensiktsmessig utforming/planløsning. </w:t>
      </w:r>
      <w:r>
        <w:t>Frøya</w:t>
      </w:r>
      <w:r w:rsidR="00A71B7C">
        <w:t xml:space="preserve"> kommune og Husbanken skal sikre at boligene er egnet for målgruppen. Prosjekter som tilfører nærmiljøet en positiv merverdi er særlig etterspurt.</w:t>
      </w:r>
    </w:p>
    <w:p w14:paraId="55AB9B5C" w14:textId="77777777" w:rsidR="00C4054F" w:rsidRDefault="00C4054F">
      <w:pPr>
        <w:pStyle w:val="Standard"/>
      </w:pPr>
    </w:p>
    <w:p w14:paraId="3373E9CC" w14:textId="7CBADC9F" w:rsidR="00C4054F" w:rsidRDefault="00F01A46">
      <w:pPr>
        <w:pStyle w:val="Standard"/>
      </w:pPr>
      <w:r>
        <w:t>Frøya</w:t>
      </w:r>
      <w:r w:rsidR="00A71B7C">
        <w:t xml:space="preserve"> kommune stiller som krav at prosjektet er i tråd med eventuelle områdeplaner eller andre kommunale føringer om ønsket boligutvikling i bydelene.  Boligene skal være av god kvalitet, og ha en hensiktsmessig leilighetssammensetning/ utforming/planløsning. Se for øvrig ønsket fordeling av boligstørrelse i konkurransegrunnlaget.</w:t>
      </w:r>
    </w:p>
    <w:p w14:paraId="00DCF4A1" w14:textId="77777777" w:rsidR="00C4054F" w:rsidRDefault="00C4054F">
      <w:pPr>
        <w:pStyle w:val="Standard"/>
      </w:pPr>
    </w:p>
    <w:p w14:paraId="37A17CD6" w14:textId="77777777" w:rsidR="00C4054F" w:rsidRDefault="00C4054F">
      <w:pPr>
        <w:pStyle w:val="Standard"/>
      </w:pPr>
    </w:p>
    <w:p w14:paraId="493EE7FF" w14:textId="3BF2EF55" w:rsidR="00C4054F" w:rsidRDefault="00A71B7C">
      <w:pPr>
        <w:pStyle w:val="Standard"/>
      </w:pPr>
      <w:r>
        <w:t>Ved oppføring/ nye prosjekt skal boligene utformes iht. gjeldende forskrift.</w:t>
      </w:r>
    </w:p>
    <w:p w14:paraId="0D57072B" w14:textId="77777777" w:rsidR="00C4054F" w:rsidRDefault="00A71B7C">
      <w:pPr>
        <w:pStyle w:val="Standard"/>
      </w:pPr>
      <w:r>
        <w:t>Prosjektene skal ha varierte boligtyper, gode felles- og utearealer. Leverandøren bes om å begrunne hvordan prosjektet tilbyr boliger av god kvalitet i et godt bomiljø.</w:t>
      </w:r>
    </w:p>
    <w:p w14:paraId="5EBAB4D1" w14:textId="77777777" w:rsidR="00C4054F" w:rsidRDefault="00C4054F">
      <w:pPr>
        <w:pStyle w:val="Standard"/>
      </w:pPr>
    </w:p>
    <w:p w14:paraId="3BB7989B" w14:textId="77777777" w:rsidR="00C4054F" w:rsidRDefault="00C4054F">
      <w:pPr>
        <w:pStyle w:val="Standard"/>
      </w:pPr>
    </w:p>
    <w:p w14:paraId="0D66549E" w14:textId="77777777" w:rsidR="00C4054F" w:rsidRDefault="00C4054F">
      <w:pPr>
        <w:pStyle w:val="Standard"/>
      </w:pPr>
    </w:p>
    <w:p w14:paraId="29C8F0DD" w14:textId="77777777" w:rsidR="00C4054F" w:rsidRDefault="00A71B7C">
      <w:pPr>
        <w:pStyle w:val="Standard"/>
      </w:pPr>
      <w:r>
        <w:rPr>
          <w:b/>
        </w:rPr>
        <w:t>5 Krav til oppfølging av bomiljø</w:t>
      </w:r>
    </w:p>
    <w:p w14:paraId="1CCD225B" w14:textId="77777777" w:rsidR="00C4054F" w:rsidRDefault="00C4054F">
      <w:pPr>
        <w:pStyle w:val="Standard"/>
      </w:pPr>
    </w:p>
    <w:p w14:paraId="04ABCF42" w14:textId="77777777" w:rsidR="00C4054F" w:rsidRDefault="00A71B7C">
      <w:pPr>
        <w:pStyle w:val="Standard"/>
      </w:pPr>
      <w:r>
        <w:t>Det forventes at de kommunalt tilgjengelige boligene etter tilvisningsavtale inngår i et ordinært bomiljø, og det forutsettes at utleier bidrar til å fremme og utvikle et godt bomiljø gjennom tett oppfølging av dette.</w:t>
      </w:r>
    </w:p>
    <w:p w14:paraId="4E3AD46B" w14:textId="77777777" w:rsidR="00C4054F" w:rsidRDefault="00C4054F">
      <w:pPr>
        <w:pStyle w:val="Standard"/>
      </w:pPr>
    </w:p>
    <w:p w14:paraId="41F3E49D" w14:textId="77777777" w:rsidR="00C4054F" w:rsidRDefault="00A71B7C">
      <w:pPr>
        <w:pStyle w:val="Standard"/>
      </w:pPr>
      <w:r>
        <w:t>Leverandøren bes derfor om å beskrive sitt apparat for forvaltning av utleieboligene, både med hensyn til innhold og omfang (for eksempel – tilgjengelige ressurser, tilstedeværelse, forebyggende og korrigerende tiltaksplaner mv).</w:t>
      </w:r>
    </w:p>
    <w:p w14:paraId="44962969" w14:textId="77777777" w:rsidR="00C4054F" w:rsidRDefault="00C4054F">
      <w:pPr>
        <w:pStyle w:val="Standard"/>
      </w:pPr>
    </w:p>
    <w:p w14:paraId="4FBF7AD5" w14:textId="77777777" w:rsidR="00C4054F" w:rsidRDefault="00A71B7C">
      <w:pPr>
        <w:pStyle w:val="Standard"/>
      </w:pPr>
      <w:r>
        <w:t>I samarbeidsavtalen med kommunen avklares ansvarsfordeling mellom foretaket og kommunen som er viktig for oppfølging av bomiljøet.</w:t>
      </w:r>
    </w:p>
    <w:p w14:paraId="7FD82779" w14:textId="77777777" w:rsidR="00A71B7C" w:rsidRDefault="00A71B7C">
      <w:pPr>
        <w:pStyle w:val="Standard"/>
      </w:pPr>
    </w:p>
    <w:p w14:paraId="226F54F4" w14:textId="77777777" w:rsidR="00A71B7C" w:rsidRDefault="00A71B7C">
      <w:pPr>
        <w:pStyle w:val="Standard"/>
      </w:pPr>
    </w:p>
    <w:p w14:paraId="241AE232" w14:textId="77777777" w:rsidR="00C4054F" w:rsidRDefault="00C4054F">
      <w:pPr>
        <w:pStyle w:val="Standard"/>
      </w:pPr>
    </w:p>
    <w:p w14:paraId="36644B91" w14:textId="77777777" w:rsidR="00C4054F" w:rsidRDefault="00A71B7C" w:rsidP="00A71B7C">
      <w:pPr>
        <w:pStyle w:val="Standard"/>
        <w:jc w:val="center"/>
      </w:pPr>
      <w:r>
        <w:rPr>
          <w:noProof/>
        </w:rPr>
        <w:drawing>
          <wp:inline distT="0" distB="0" distL="0" distR="0" wp14:anchorId="461A859A" wp14:editId="02843439">
            <wp:extent cx="3611880" cy="2244068"/>
            <wp:effectExtent l="0" t="0" r="7620" b="4445"/>
            <wp:docPr id="3" name="Bilde 3" descr="Bilderesultat for bomilj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esultat for bomilj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0045" cy="2242928"/>
                    </a:xfrm>
                    <a:prstGeom prst="rect">
                      <a:avLst/>
                    </a:prstGeom>
                    <a:noFill/>
                    <a:ln>
                      <a:noFill/>
                    </a:ln>
                  </pic:spPr>
                </pic:pic>
              </a:graphicData>
            </a:graphic>
          </wp:inline>
        </w:drawing>
      </w:r>
    </w:p>
    <w:sectPr w:rsidR="00C4054F">
      <w:footerReference w:type="defaul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0A621" w14:textId="77777777" w:rsidR="00B96A20" w:rsidRDefault="00A71B7C">
      <w:r>
        <w:separator/>
      </w:r>
    </w:p>
  </w:endnote>
  <w:endnote w:type="continuationSeparator" w:id="0">
    <w:p w14:paraId="37CA325B" w14:textId="77777777" w:rsidR="00B96A20" w:rsidRDefault="00A7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DejaVu San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B01D" w14:textId="77777777" w:rsidR="00971CC2" w:rsidRDefault="00A71B7C">
    <w:pPr>
      <w:pStyle w:val="Bunntekst"/>
      <w:ind w:right="360"/>
    </w:pPr>
    <w:r>
      <w:rPr>
        <w:noProof/>
      </w:rPr>
      <mc:AlternateContent>
        <mc:Choice Requires="wps">
          <w:drawing>
            <wp:anchor distT="0" distB="0" distL="114300" distR="114300" simplePos="0" relativeHeight="251659264" behindDoc="0" locked="0" layoutInCell="1" allowOverlap="1" wp14:anchorId="146B5FC5" wp14:editId="7645BFC9">
              <wp:simplePos x="0" y="0"/>
              <wp:positionH relativeFrom="margin">
                <wp:align>right</wp:align>
              </wp:positionH>
              <wp:positionV relativeFrom="paragraph">
                <wp:posOffset>731</wp:posOffset>
              </wp:positionV>
              <wp:extent cx="14721" cy="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721" cy="0"/>
                      </a:xfrm>
                      <a:prstGeom prst="rect">
                        <a:avLst/>
                      </a:prstGeom>
                      <a:solidFill>
                        <a:srgbClr val="FFFFFF">
                          <a:alpha val="0"/>
                        </a:srgbClr>
                      </a:solidFill>
                      <a:ln>
                        <a:noFill/>
                        <a:prstDash/>
                      </a:ln>
                    </wps:spPr>
                    <wps:txbx>
                      <w:txbxContent>
                        <w:p w14:paraId="6CDB7D33" w14:textId="77777777" w:rsidR="00971CC2" w:rsidRDefault="00A71B7C">
                          <w:pPr>
                            <w:pStyle w:val="Bunntekst"/>
                          </w:pPr>
                          <w:r>
                            <w:rPr>
                              <w:rStyle w:val="Sidetall"/>
                            </w:rPr>
                            <w:fldChar w:fldCharType="begin"/>
                          </w:r>
                          <w:r>
                            <w:rPr>
                              <w:rStyle w:val="Sidetall"/>
                            </w:rPr>
                            <w:instrText xml:space="preserve"> PAGE </w:instrText>
                          </w:r>
                          <w:r>
                            <w:rPr>
                              <w:rStyle w:val="Sidetall"/>
                            </w:rPr>
                            <w:fldChar w:fldCharType="separate"/>
                          </w:r>
                          <w:r w:rsidR="001F6414">
                            <w:rPr>
                              <w:rStyle w:val="Sidetall"/>
                              <w:noProof/>
                            </w:rPr>
                            <w:t>3</w:t>
                          </w:r>
                          <w:r>
                            <w:rPr>
                              <w:rStyle w:val="Sidetall"/>
                            </w:rPr>
                            <w:fldChar w:fldCharType="end"/>
                          </w:r>
                        </w:p>
                      </w:txbxContent>
                    </wps:txbx>
                    <wps:bodyPr vert="horz" wrap="none" lIns="0" tIns="0" rIns="0" bIns="0" compatLnSpc="0">
                      <a:spAutoFit/>
                    </wps:bodyPr>
                  </wps:wsp>
                </a:graphicData>
              </a:graphic>
            </wp:anchor>
          </w:drawing>
        </mc:Choice>
        <mc:Fallback>
          <w:pict>
            <v:shapetype w14:anchorId="146B5FC5" id="_x0000_t202" coordsize="21600,21600" o:spt="202" path="m,l,21600r21600,l21600,xe">
              <v:stroke joinstyle="miter"/>
              <v:path gradientshapeok="t" o:connecttype="rect"/>
            </v:shapetype>
            <v:shape id="Frame1" o:spid="_x0000_s1026" type="#_x0000_t202" style="position:absolute;margin-left:-50.05pt;margin-top:.05pt;width:1.15pt;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r0AEAAKEDAAAOAAAAZHJzL2Uyb0RvYy54bWysU9uK2zAQfS/0H4TeGyWhtMXEWdqGlMLS&#10;FrL9AFmWY4FuzGhjp1/fkWxne3lb1g/SSDM6M2fmeHc3OssuGtAEX/PNas2Z9iq0xp9r/vPh+OYD&#10;Z5ikb6UNXtf8qpHf7V+/2g2x0tvQB9tqYATisRpizfuUYiUEql47iasQtSdnF8DJREc4ixbkQOjO&#10;iu16/U4MAdoIQWlEuj1MTr4v+F2nVfredagTszWn2lJZoaxNXsV+J6szyNgbNZchn1GFk8ZT0hvU&#10;QSbJHsH8B+WMgoChSysVnAhdZ5QuHIjNZv0Pm1Mvoy5cqDkYb23Cl4NV3y4/gJmWZseZl45GdATa&#10;NrkzQ8SKAk6RQtL4KYw5ar5HusyExw5c3okKIz/1+Hrrqx4TU/nR2/dbgleLRzw9i4Dpiw6OZaPm&#10;QAMrfZSXe0yUikKXkJwFgzXt0VhbDnBuPltgF0nDPZZvemtjL6fbMmDCwCm04P2FYX1G8iFjFi3k&#10;bAeJ/ZQ7u0Vuw0Q3W2lsxrkHTWiv1BqSP5XeB/jF2UBSqrknrXNmv3qaVFbdYsBiNItBKogy3ftT&#10;VDm00IofHxMVVOjnjFOauRDSQWExazYL7c9ziXr6s/a/AQAA//8DAFBLAwQUAAYACAAAACEA6cpy&#10;A9UAAAAAAQAADwAAAGRycy9kb3ducmV2LnhtbEyPQUvEMBCF74L/IYzgRdzUCiK16aKCHl3cFXVv&#10;s83YFptJSdJt/fdOT3p884b3vleuZ9erI4XYeTZwtcpAEdfedtwYeNs9Xd6CignZYu+ZDPxQhHV1&#10;elJiYf3Er3TcpkZJCMcCDbQpDYXWsW7JYVz5gVi8Lx8cJpGh0TbgJOGu13mW3WiHHUtDiwM9tlR/&#10;b0dnIN88PE/vFsf958vmw9r9GBq6MOb8bL6/A5VoTn/PsOALOlTCdPAj26h6AzIkLVclXn4N6rAI&#10;XZX6P3j1CwAA//8DAFBLAQItABQABgAIAAAAIQC2gziS/gAAAOEBAAATAAAAAAAAAAAAAAAAAAAA&#10;AABbQ29udGVudF9UeXBlc10ueG1sUEsBAi0AFAAGAAgAAAAhADj9If/WAAAAlAEAAAsAAAAAAAAA&#10;AAAAAAAALwEAAF9yZWxzLy5yZWxzUEsBAi0AFAAGAAgAAAAhACRluevQAQAAoQMAAA4AAAAAAAAA&#10;AAAAAAAALgIAAGRycy9lMm9Eb2MueG1sUEsBAi0AFAAGAAgAAAAhAOnKcgPVAAAAAAEAAA8AAAAA&#10;AAAAAAAAAAAAKgQAAGRycy9kb3ducmV2LnhtbFBLBQYAAAAABAAEAPMAAAAsBQAAAAA=&#10;" stroked="f">
              <v:fill opacity="0"/>
              <v:textbox style="mso-fit-shape-to-text:t" inset="0,0,0,0">
                <w:txbxContent>
                  <w:p w14:paraId="6CDB7D33" w14:textId="77777777" w:rsidR="00971CC2" w:rsidRDefault="00A71B7C">
                    <w:pPr>
                      <w:pStyle w:val="Bunntekst"/>
                    </w:pPr>
                    <w:r>
                      <w:rPr>
                        <w:rStyle w:val="Sidetall"/>
                      </w:rPr>
                      <w:fldChar w:fldCharType="begin"/>
                    </w:r>
                    <w:r>
                      <w:rPr>
                        <w:rStyle w:val="Sidetall"/>
                      </w:rPr>
                      <w:instrText xml:space="preserve"> PAGE </w:instrText>
                    </w:r>
                    <w:r>
                      <w:rPr>
                        <w:rStyle w:val="Sidetall"/>
                      </w:rPr>
                      <w:fldChar w:fldCharType="separate"/>
                    </w:r>
                    <w:r w:rsidR="001F6414">
                      <w:rPr>
                        <w:rStyle w:val="Sidetall"/>
                        <w:noProof/>
                      </w:rPr>
                      <w:t>3</w:t>
                    </w:r>
                    <w:r>
                      <w:rPr>
                        <w:rStyle w:val="Sidetal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EB1B" w14:textId="77777777" w:rsidR="00B96A20" w:rsidRDefault="00A71B7C">
      <w:r>
        <w:rPr>
          <w:color w:val="000000"/>
        </w:rPr>
        <w:separator/>
      </w:r>
    </w:p>
  </w:footnote>
  <w:footnote w:type="continuationSeparator" w:id="0">
    <w:p w14:paraId="560A4936" w14:textId="77777777" w:rsidR="00B96A20" w:rsidRDefault="00A71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BC0"/>
    <w:multiLevelType w:val="multilevel"/>
    <w:tmpl w:val="58DC60C2"/>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0ADD6D02"/>
    <w:multiLevelType w:val="multilevel"/>
    <w:tmpl w:val="8F7E45B8"/>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F04A06"/>
    <w:multiLevelType w:val="multilevel"/>
    <w:tmpl w:val="F822F5DE"/>
    <w:styleLink w:val="WWNum10"/>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 w15:restartNumberingAfterBreak="0">
    <w:nsid w:val="17DD21F6"/>
    <w:multiLevelType w:val="hybridMultilevel"/>
    <w:tmpl w:val="1436C460"/>
    <w:lvl w:ilvl="0" w:tplc="04140001">
      <w:start w:val="1"/>
      <w:numFmt w:val="bullet"/>
      <w:lvlText w:val=""/>
      <w:lvlJc w:val="left"/>
      <w:pPr>
        <w:ind w:left="990" w:hanging="360"/>
      </w:pPr>
      <w:rPr>
        <w:rFonts w:ascii="Symbol" w:hAnsi="Symbol" w:hint="default"/>
      </w:rPr>
    </w:lvl>
    <w:lvl w:ilvl="1" w:tplc="04140003" w:tentative="1">
      <w:start w:val="1"/>
      <w:numFmt w:val="bullet"/>
      <w:lvlText w:val="o"/>
      <w:lvlJc w:val="left"/>
      <w:pPr>
        <w:ind w:left="1710" w:hanging="360"/>
      </w:pPr>
      <w:rPr>
        <w:rFonts w:ascii="Courier New" w:hAnsi="Courier New" w:cs="Courier New" w:hint="default"/>
      </w:rPr>
    </w:lvl>
    <w:lvl w:ilvl="2" w:tplc="04140005" w:tentative="1">
      <w:start w:val="1"/>
      <w:numFmt w:val="bullet"/>
      <w:lvlText w:val=""/>
      <w:lvlJc w:val="left"/>
      <w:pPr>
        <w:ind w:left="2430" w:hanging="360"/>
      </w:pPr>
      <w:rPr>
        <w:rFonts w:ascii="Wingdings" w:hAnsi="Wingdings" w:hint="default"/>
      </w:rPr>
    </w:lvl>
    <w:lvl w:ilvl="3" w:tplc="04140001" w:tentative="1">
      <w:start w:val="1"/>
      <w:numFmt w:val="bullet"/>
      <w:lvlText w:val=""/>
      <w:lvlJc w:val="left"/>
      <w:pPr>
        <w:ind w:left="3150" w:hanging="360"/>
      </w:pPr>
      <w:rPr>
        <w:rFonts w:ascii="Symbol" w:hAnsi="Symbol" w:hint="default"/>
      </w:rPr>
    </w:lvl>
    <w:lvl w:ilvl="4" w:tplc="04140003" w:tentative="1">
      <w:start w:val="1"/>
      <w:numFmt w:val="bullet"/>
      <w:lvlText w:val="o"/>
      <w:lvlJc w:val="left"/>
      <w:pPr>
        <w:ind w:left="3870" w:hanging="360"/>
      </w:pPr>
      <w:rPr>
        <w:rFonts w:ascii="Courier New" w:hAnsi="Courier New" w:cs="Courier New" w:hint="default"/>
      </w:rPr>
    </w:lvl>
    <w:lvl w:ilvl="5" w:tplc="04140005" w:tentative="1">
      <w:start w:val="1"/>
      <w:numFmt w:val="bullet"/>
      <w:lvlText w:val=""/>
      <w:lvlJc w:val="left"/>
      <w:pPr>
        <w:ind w:left="4590" w:hanging="360"/>
      </w:pPr>
      <w:rPr>
        <w:rFonts w:ascii="Wingdings" w:hAnsi="Wingdings" w:hint="default"/>
      </w:rPr>
    </w:lvl>
    <w:lvl w:ilvl="6" w:tplc="04140001" w:tentative="1">
      <w:start w:val="1"/>
      <w:numFmt w:val="bullet"/>
      <w:lvlText w:val=""/>
      <w:lvlJc w:val="left"/>
      <w:pPr>
        <w:ind w:left="5310" w:hanging="360"/>
      </w:pPr>
      <w:rPr>
        <w:rFonts w:ascii="Symbol" w:hAnsi="Symbol" w:hint="default"/>
      </w:rPr>
    </w:lvl>
    <w:lvl w:ilvl="7" w:tplc="04140003" w:tentative="1">
      <w:start w:val="1"/>
      <w:numFmt w:val="bullet"/>
      <w:lvlText w:val="o"/>
      <w:lvlJc w:val="left"/>
      <w:pPr>
        <w:ind w:left="6030" w:hanging="360"/>
      </w:pPr>
      <w:rPr>
        <w:rFonts w:ascii="Courier New" w:hAnsi="Courier New" w:cs="Courier New" w:hint="default"/>
      </w:rPr>
    </w:lvl>
    <w:lvl w:ilvl="8" w:tplc="04140005" w:tentative="1">
      <w:start w:val="1"/>
      <w:numFmt w:val="bullet"/>
      <w:lvlText w:val=""/>
      <w:lvlJc w:val="left"/>
      <w:pPr>
        <w:ind w:left="6750" w:hanging="360"/>
      </w:pPr>
      <w:rPr>
        <w:rFonts w:ascii="Wingdings" w:hAnsi="Wingdings" w:hint="default"/>
      </w:rPr>
    </w:lvl>
  </w:abstractNum>
  <w:abstractNum w:abstractNumId="4" w15:restartNumberingAfterBreak="0">
    <w:nsid w:val="2E6758C1"/>
    <w:multiLevelType w:val="multilevel"/>
    <w:tmpl w:val="33D856B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31D90A1D"/>
    <w:multiLevelType w:val="multilevel"/>
    <w:tmpl w:val="5B6256EC"/>
    <w:styleLink w:val="Ingen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20D5000"/>
    <w:multiLevelType w:val="multilevel"/>
    <w:tmpl w:val="C986D770"/>
    <w:styleLink w:val="WWNum6"/>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32C90406"/>
    <w:multiLevelType w:val="multilevel"/>
    <w:tmpl w:val="F094F092"/>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B2B0DD3"/>
    <w:multiLevelType w:val="multilevel"/>
    <w:tmpl w:val="2AE643FE"/>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55F013BC"/>
    <w:multiLevelType w:val="multilevel"/>
    <w:tmpl w:val="901AA71A"/>
    <w:styleLink w:val="WWNum1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10" w15:restartNumberingAfterBreak="0">
    <w:nsid w:val="5C950FA9"/>
    <w:multiLevelType w:val="multilevel"/>
    <w:tmpl w:val="107A6AD6"/>
    <w:styleLink w:val="WWNum8"/>
    <w:lvl w:ilvl="0">
      <w:numFmt w:val="bullet"/>
      <w:lvlText w:val=""/>
      <w:lvlJc w:val="left"/>
      <w:rPr>
        <w:rFonts w:hAnsi="Symbol" w:hint="default"/>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15:restartNumberingAfterBreak="0">
    <w:nsid w:val="5FE816A1"/>
    <w:multiLevelType w:val="multilevel"/>
    <w:tmpl w:val="9C3C57B4"/>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72F02792"/>
    <w:multiLevelType w:val="multilevel"/>
    <w:tmpl w:val="AD8C56CE"/>
    <w:styleLink w:val="WWNum11"/>
    <w:lvl w:ilvl="0">
      <w:numFmt w:val="bullet"/>
      <w:lvlText w:val="o"/>
      <w:lvlJc w:val="left"/>
      <w:rPr>
        <w:rFonts w:ascii="Courier New" w:hAnsi="Courier New" w:cs="Courier New"/>
      </w:rPr>
    </w:lvl>
    <w:lvl w:ilvl="1">
      <w:numFmt w:val="bullet"/>
      <w:lvlText w:val="o"/>
      <w:lvlJc w:val="left"/>
      <w:rPr>
        <w:rFonts w:ascii="Courier New" w:hAnsi="Courier New" w:cs="Courier New"/>
        <w:b/>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78664390"/>
    <w:multiLevelType w:val="multilevel"/>
    <w:tmpl w:val="43CC5820"/>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5"/>
  </w:num>
  <w:num w:numId="2">
    <w:abstractNumId w:val="0"/>
  </w:num>
  <w:num w:numId="3">
    <w:abstractNumId w:val="7"/>
  </w:num>
  <w:num w:numId="4">
    <w:abstractNumId w:val="11"/>
  </w:num>
  <w:num w:numId="5">
    <w:abstractNumId w:val="13"/>
  </w:num>
  <w:num w:numId="6">
    <w:abstractNumId w:val="4"/>
  </w:num>
  <w:num w:numId="7">
    <w:abstractNumId w:val="6"/>
  </w:num>
  <w:num w:numId="8">
    <w:abstractNumId w:val="8"/>
  </w:num>
  <w:num w:numId="9">
    <w:abstractNumId w:val="10"/>
  </w:num>
  <w:num w:numId="10">
    <w:abstractNumId w:val="1"/>
  </w:num>
  <w:num w:numId="11">
    <w:abstractNumId w:val="2"/>
  </w:num>
  <w:num w:numId="12">
    <w:abstractNumId w:val="12"/>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4F"/>
    <w:rsid w:val="000F5121"/>
    <w:rsid w:val="001F6414"/>
    <w:rsid w:val="003B4CF6"/>
    <w:rsid w:val="008C3BC5"/>
    <w:rsid w:val="00995BC8"/>
    <w:rsid w:val="00A71B7C"/>
    <w:rsid w:val="00B621A2"/>
    <w:rsid w:val="00B96A20"/>
    <w:rsid w:val="00C4054F"/>
    <w:rsid w:val="00CD284D"/>
    <w:rsid w:val="00F01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9A67"/>
  <w15:docId w15:val="{1DA9313C-EA6C-400E-9F0B-0999E0F4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4"/>
        <w:lang w:val="nb-NO" w:eastAsia="nb-NO"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Standard"/>
    <w:next w:val="Standard"/>
    <w:pPr>
      <w:keepNext/>
      <w:spacing w:before="240" w:after="60"/>
      <w:outlineLvl w:val="0"/>
    </w:pPr>
    <w:rPr>
      <w:rFonts w:ascii="Arial" w:hAnsi="Arial" w:cs="Arial"/>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Merknadstekst">
    <w:name w:val="annotation text"/>
    <w:basedOn w:val="Standard"/>
    <w:rPr>
      <w:sz w:val="20"/>
      <w:szCs w:val="20"/>
    </w:rPr>
  </w:style>
  <w:style w:type="paragraph" w:styleId="Bobletekst">
    <w:name w:val="Balloon Text"/>
    <w:basedOn w:val="Standard"/>
    <w:rPr>
      <w:rFonts w:ascii="Tahoma" w:hAnsi="Tahoma" w:cs="Tahoma"/>
      <w:sz w:val="16"/>
      <w:szCs w:val="16"/>
    </w:rPr>
  </w:style>
  <w:style w:type="paragraph" w:styleId="Topptekst">
    <w:name w:val="header"/>
    <w:basedOn w:val="Standard"/>
    <w:pPr>
      <w:tabs>
        <w:tab w:val="center" w:pos="4536"/>
        <w:tab w:val="right" w:pos="9072"/>
      </w:tabs>
    </w:pPr>
  </w:style>
  <w:style w:type="paragraph" w:styleId="Bunntekst">
    <w:name w:val="footer"/>
    <w:basedOn w:val="Standard"/>
    <w:pPr>
      <w:tabs>
        <w:tab w:val="center" w:pos="4536"/>
        <w:tab w:val="right" w:pos="9072"/>
      </w:tabs>
    </w:pPr>
  </w:style>
  <w:style w:type="paragraph" w:styleId="Listeavsnitt">
    <w:name w:val="List Paragraph"/>
    <w:basedOn w:val="Standard"/>
    <w:pPr>
      <w:spacing w:after="200" w:line="276" w:lineRule="auto"/>
      <w:ind w:left="720"/>
    </w:pPr>
    <w:rPr>
      <w:rFonts w:ascii="Calibri" w:eastAsia="Calibri" w:hAnsi="Calibri"/>
      <w:sz w:val="22"/>
      <w:szCs w:val="22"/>
      <w:lang w:eastAsia="en-US"/>
    </w:rPr>
  </w:style>
  <w:style w:type="paragraph" w:styleId="Ingenmellomrom">
    <w:name w:val="No Spacing"/>
    <w:pPr>
      <w:widowControl/>
    </w:pPr>
    <w:rPr>
      <w:rFonts w:ascii="Calibri" w:eastAsia="Calibri" w:hAnsi="Calibri"/>
      <w:sz w:val="22"/>
      <w:szCs w:val="22"/>
      <w:lang w:eastAsia="en-US"/>
    </w:rPr>
  </w:style>
  <w:style w:type="paragraph" w:styleId="Kommentaremne">
    <w:name w:val="annotation subject"/>
    <w:basedOn w:val="Merknadstekst"/>
    <w:rPr>
      <w:b/>
      <w:bCs/>
    </w:rPr>
  </w:style>
  <w:style w:type="paragraph" w:customStyle="1" w:styleId="Framecontents">
    <w:name w:val="Frame contents"/>
    <w:basedOn w:val="Standard"/>
  </w:style>
  <w:style w:type="character" w:styleId="Merknadsreferanse">
    <w:name w:val="annotation reference"/>
    <w:basedOn w:val="Standardskriftforavsnitt"/>
    <w:rPr>
      <w:sz w:val="16"/>
      <w:szCs w:val="16"/>
    </w:rPr>
  </w:style>
  <w:style w:type="character" w:styleId="Sidetall">
    <w:name w:val="page number"/>
    <w:basedOn w:val="Standardskriftforavsnitt"/>
  </w:style>
  <w:style w:type="character" w:customStyle="1" w:styleId="MerknadstekstTegn">
    <w:name w:val="Merknadstekst Tegn"/>
    <w:basedOn w:val="Standardskriftforavsnitt"/>
  </w:style>
  <w:style w:type="character" w:customStyle="1" w:styleId="KommentaremneTegn">
    <w:name w:val="Kommentaremne Tegn"/>
    <w:basedOn w:val="MerknadstekstTegn"/>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Courier New"/>
    </w:rPr>
  </w:style>
  <w:style w:type="character" w:customStyle="1" w:styleId="ListLabel27">
    <w:name w:val="ListLabel 27"/>
    <w:rPr>
      <w:rFonts w:ascii="Times New Roman" w:hAnsi="Times New Roman" w:cs="Courier New"/>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Times New Roman"/>
    </w:rPr>
  </w:style>
  <w:style w:type="character" w:customStyle="1" w:styleId="ListLabel31">
    <w:name w:val="ListLabel 31"/>
    <w:rPr>
      <w:rFonts w:cs="Times New Roman"/>
    </w:rPr>
  </w:style>
  <w:style w:type="numbering" w:customStyle="1" w:styleId="Ingenliste1">
    <w:name w:val="Ingen liste1"/>
    <w:basedOn w:val="Ingenliste"/>
    <w:pPr>
      <w:numPr>
        <w:numId w:val="1"/>
      </w:numPr>
    </w:pPr>
  </w:style>
  <w:style w:type="numbering" w:customStyle="1" w:styleId="WWNum1">
    <w:name w:val="WWNum1"/>
    <w:basedOn w:val="Ingenliste"/>
    <w:pPr>
      <w:numPr>
        <w:numId w:val="2"/>
      </w:numPr>
    </w:pPr>
  </w:style>
  <w:style w:type="numbering" w:customStyle="1" w:styleId="WWNum2">
    <w:name w:val="WWNum2"/>
    <w:basedOn w:val="Ingenliste"/>
    <w:pPr>
      <w:numPr>
        <w:numId w:val="3"/>
      </w:numPr>
    </w:pPr>
  </w:style>
  <w:style w:type="numbering" w:customStyle="1" w:styleId="WWNum3">
    <w:name w:val="WWNum3"/>
    <w:basedOn w:val="Ingenliste"/>
    <w:pPr>
      <w:numPr>
        <w:numId w:val="4"/>
      </w:numPr>
    </w:pPr>
  </w:style>
  <w:style w:type="numbering" w:customStyle="1" w:styleId="WWNum4">
    <w:name w:val="WWNum4"/>
    <w:basedOn w:val="Ingenliste"/>
    <w:pPr>
      <w:numPr>
        <w:numId w:val="5"/>
      </w:numPr>
    </w:pPr>
  </w:style>
  <w:style w:type="numbering" w:customStyle="1" w:styleId="WWNum5">
    <w:name w:val="WWNum5"/>
    <w:basedOn w:val="Ingenliste"/>
    <w:pPr>
      <w:numPr>
        <w:numId w:val="6"/>
      </w:numPr>
    </w:pPr>
  </w:style>
  <w:style w:type="numbering" w:customStyle="1" w:styleId="WWNum6">
    <w:name w:val="WWNum6"/>
    <w:basedOn w:val="Ingenliste"/>
    <w:pPr>
      <w:numPr>
        <w:numId w:val="7"/>
      </w:numPr>
    </w:pPr>
  </w:style>
  <w:style w:type="numbering" w:customStyle="1" w:styleId="WWNum7">
    <w:name w:val="WWNum7"/>
    <w:basedOn w:val="Ingenliste"/>
    <w:pPr>
      <w:numPr>
        <w:numId w:val="8"/>
      </w:numPr>
    </w:pPr>
  </w:style>
  <w:style w:type="numbering" w:customStyle="1" w:styleId="WWNum8">
    <w:name w:val="WWNum8"/>
    <w:basedOn w:val="Ingenliste"/>
    <w:pPr>
      <w:numPr>
        <w:numId w:val="9"/>
      </w:numPr>
    </w:pPr>
  </w:style>
  <w:style w:type="numbering" w:customStyle="1" w:styleId="WWNum9">
    <w:name w:val="WWNum9"/>
    <w:basedOn w:val="Ingenliste"/>
    <w:pPr>
      <w:numPr>
        <w:numId w:val="10"/>
      </w:numPr>
    </w:pPr>
  </w:style>
  <w:style w:type="numbering" w:customStyle="1" w:styleId="WWNum10">
    <w:name w:val="WWNum10"/>
    <w:basedOn w:val="Ingenliste"/>
    <w:pPr>
      <w:numPr>
        <w:numId w:val="11"/>
      </w:numPr>
    </w:pPr>
  </w:style>
  <w:style w:type="numbering" w:customStyle="1" w:styleId="WWNum11">
    <w:name w:val="WWNum11"/>
    <w:basedOn w:val="Ingenliste"/>
    <w:pPr>
      <w:numPr>
        <w:numId w:val="12"/>
      </w:numPr>
    </w:pPr>
  </w:style>
  <w:style w:type="numbering" w:customStyle="1" w:styleId="WWNum12">
    <w:name w:val="WWNum12"/>
    <w:basedOn w:val="Ingen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8F75015428F43AE54DBB220C890FE" ma:contentTypeVersion="11" ma:contentTypeDescription="Create a new document." ma:contentTypeScope="" ma:versionID="f6ef2eb615ad6790df070c285ff7ac3c">
  <xsd:schema xmlns:xsd="http://www.w3.org/2001/XMLSchema" xmlns:xs="http://www.w3.org/2001/XMLSchema" xmlns:p="http://schemas.microsoft.com/office/2006/metadata/properties" xmlns:ns3="ef321310-11ba-438e-b517-8ede034abe7d" xmlns:ns4="e37cb953-25a2-4f06-8463-8f090e2a6432" targetNamespace="http://schemas.microsoft.com/office/2006/metadata/properties" ma:root="true" ma:fieldsID="9e41000529c0f5ddb3fa7ae7ca89a902" ns3:_="" ns4:_="">
    <xsd:import namespace="ef321310-11ba-438e-b517-8ede034abe7d"/>
    <xsd:import namespace="e37cb953-25a2-4f06-8463-8f090e2a64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1310-11ba-438e-b517-8ede034a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cb953-25a2-4f06-8463-8f090e2a6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1D3A0-BA7A-4F00-9851-DC709D77E1D4}">
  <ds:schemaRefs>
    <ds:schemaRef ds:uri="ef321310-11ba-438e-b517-8ede034abe7d"/>
    <ds:schemaRef ds:uri="http://purl.org/dc/elements/1.1/"/>
    <ds:schemaRef ds:uri="http://schemas.microsoft.com/office/2006/metadata/properties"/>
    <ds:schemaRef ds:uri="e37cb953-25a2-4f06-8463-8f090e2a64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B24758-5239-447D-8C97-C6E3281CB6A2}">
  <ds:schemaRefs>
    <ds:schemaRef ds:uri="http://schemas.microsoft.com/sharepoint/v3/contenttype/forms"/>
  </ds:schemaRefs>
</ds:datastoreItem>
</file>

<file path=customXml/itemProps3.xml><?xml version="1.0" encoding="utf-8"?>
<ds:datastoreItem xmlns:ds="http://schemas.openxmlformats.org/officeDocument/2006/customXml" ds:itemID="{C11D7385-0B91-4D03-BC44-7DA80CAB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1310-11ba-438e-b517-8ede034abe7d"/>
    <ds:schemaRef ds:uri="e37cb953-25a2-4f06-8463-8f090e2a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797</Words>
  <Characters>4225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1 Målet med prøveprosjektet</vt:lpstr>
    </vt:vector>
  </TitlesOfParts>
  <Company>Melhus Kommune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Målet med prøveprosjektet</dc:title>
  <dc:creator>rme121460</dc:creator>
  <cp:lastModifiedBy>Thomas Elier Sandvik</cp:lastModifiedBy>
  <cp:revision>7</cp:revision>
  <cp:lastPrinted>2014-10-24T11:19:00Z</cp:lastPrinted>
  <dcterms:created xsi:type="dcterms:W3CDTF">2023-05-12T07:18:00Z</dcterms:created>
  <dcterms:modified xsi:type="dcterms:W3CDTF">2023-05-23T10:46:00Z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Oslo kommune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0x0101004A08F75015428F43AE54DBB220C890FE</vt:lpwstr>
  </property>
</Properties>
</file>