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DCBD" w14:textId="77777777" w:rsidR="00120172" w:rsidRDefault="00120172">
      <w:pPr>
        <w:pStyle w:val="Standard"/>
      </w:pPr>
    </w:p>
    <w:p w14:paraId="7FBE16FF" w14:textId="77777777" w:rsidR="00120172" w:rsidRDefault="00120172">
      <w:pPr>
        <w:pStyle w:val="Standard"/>
      </w:pPr>
    </w:p>
    <w:p w14:paraId="3A853AC2" w14:textId="77777777" w:rsidR="00120172" w:rsidRDefault="00120172">
      <w:pPr>
        <w:pStyle w:val="Standard"/>
      </w:pPr>
    </w:p>
    <w:p w14:paraId="242C03B6" w14:textId="77777777" w:rsidR="00120172" w:rsidRDefault="00120172">
      <w:pPr>
        <w:pStyle w:val="Standard"/>
      </w:pPr>
    </w:p>
    <w:p w14:paraId="479731C9" w14:textId="77777777" w:rsidR="00120172" w:rsidRDefault="00120172">
      <w:pPr>
        <w:pStyle w:val="Standard"/>
      </w:pPr>
    </w:p>
    <w:p w14:paraId="0E5DCF9A" w14:textId="77777777" w:rsidR="00120172" w:rsidRDefault="00120172">
      <w:pPr>
        <w:pStyle w:val="Standard"/>
      </w:pPr>
    </w:p>
    <w:p w14:paraId="3FF209C8" w14:textId="77777777" w:rsidR="00120172" w:rsidRDefault="00120172">
      <w:pPr>
        <w:pStyle w:val="Standard"/>
      </w:pPr>
    </w:p>
    <w:p w14:paraId="436E1865" w14:textId="77777777" w:rsidR="00120172" w:rsidRDefault="00120172">
      <w:pPr>
        <w:pStyle w:val="Standard"/>
      </w:pPr>
    </w:p>
    <w:p w14:paraId="71AAB341" w14:textId="77777777" w:rsidR="00120172" w:rsidRDefault="00120172">
      <w:pPr>
        <w:pStyle w:val="Standard"/>
      </w:pPr>
    </w:p>
    <w:p w14:paraId="3CABB947" w14:textId="77777777" w:rsidR="00120172" w:rsidRDefault="00120172">
      <w:pPr>
        <w:pStyle w:val="Standard"/>
      </w:pPr>
    </w:p>
    <w:p w14:paraId="22EFAB97" w14:textId="77777777" w:rsidR="00120172" w:rsidRDefault="00120172">
      <w:pPr>
        <w:pStyle w:val="Standard"/>
      </w:pPr>
    </w:p>
    <w:p w14:paraId="5F968EAE" w14:textId="77777777" w:rsidR="00120172" w:rsidRDefault="00120172">
      <w:pPr>
        <w:pStyle w:val="Standard"/>
      </w:pPr>
    </w:p>
    <w:p w14:paraId="2DEC8659" w14:textId="77777777" w:rsidR="00120172" w:rsidRPr="000C5237" w:rsidRDefault="00732EB0">
      <w:pPr>
        <w:pStyle w:val="Standard"/>
        <w:jc w:val="center"/>
        <w:rPr>
          <w:sz w:val="52"/>
          <w:szCs w:val="52"/>
        </w:rPr>
      </w:pPr>
      <w:r w:rsidRPr="000C5237">
        <w:rPr>
          <w:b/>
          <w:sz w:val="52"/>
          <w:szCs w:val="52"/>
        </w:rPr>
        <w:t>KONKURRANSE-</w:t>
      </w:r>
    </w:p>
    <w:p w14:paraId="65EAD5B4" w14:textId="77777777" w:rsidR="00120172" w:rsidRPr="000C5237" w:rsidRDefault="00732EB0">
      <w:pPr>
        <w:pStyle w:val="Standard"/>
        <w:jc w:val="center"/>
        <w:rPr>
          <w:sz w:val="52"/>
          <w:szCs w:val="52"/>
        </w:rPr>
      </w:pPr>
      <w:r w:rsidRPr="000C5237">
        <w:rPr>
          <w:b/>
          <w:sz w:val="52"/>
          <w:szCs w:val="52"/>
        </w:rPr>
        <w:t>GRUNNLAG</w:t>
      </w:r>
    </w:p>
    <w:p w14:paraId="7D153E44" w14:textId="77777777" w:rsidR="00120172" w:rsidRDefault="00120172">
      <w:pPr>
        <w:pStyle w:val="Standard"/>
        <w:jc w:val="center"/>
        <w:rPr>
          <w:b/>
          <w:sz w:val="40"/>
          <w:szCs w:val="40"/>
        </w:rPr>
      </w:pPr>
    </w:p>
    <w:p w14:paraId="3302BBC7" w14:textId="77777777" w:rsidR="00120172" w:rsidRDefault="00120172">
      <w:pPr>
        <w:pStyle w:val="Standard"/>
        <w:jc w:val="center"/>
        <w:rPr>
          <w:b/>
          <w:sz w:val="40"/>
          <w:szCs w:val="40"/>
        </w:rPr>
      </w:pPr>
    </w:p>
    <w:p w14:paraId="0AEA8B8D" w14:textId="77777777" w:rsidR="00120172" w:rsidRDefault="00120172">
      <w:pPr>
        <w:pStyle w:val="Standard"/>
        <w:jc w:val="center"/>
        <w:rPr>
          <w:b/>
          <w:sz w:val="40"/>
          <w:szCs w:val="40"/>
        </w:rPr>
      </w:pPr>
    </w:p>
    <w:p w14:paraId="62F853EC" w14:textId="77777777" w:rsidR="00120172" w:rsidRPr="000C5237" w:rsidRDefault="00732EB0" w:rsidP="000C5237">
      <w:pPr>
        <w:pStyle w:val="Standard"/>
        <w:jc w:val="center"/>
      </w:pPr>
      <w:r>
        <w:rPr>
          <w:b/>
          <w:sz w:val="40"/>
          <w:szCs w:val="40"/>
        </w:rPr>
        <w:t>KONKURRANSE</w:t>
      </w:r>
    </w:p>
    <w:p w14:paraId="6BB86B4F" w14:textId="77777777" w:rsidR="00120172" w:rsidRDefault="00732EB0">
      <w:pPr>
        <w:pStyle w:val="Standard"/>
        <w:jc w:val="center"/>
      </w:pPr>
      <w:r>
        <w:rPr>
          <w:b/>
          <w:sz w:val="40"/>
          <w:szCs w:val="40"/>
        </w:rPr>
        <w:t>FOR INNGÅELSE AV TILVISNINGSAVTALE FOR UTLEIEBOLIGER TIL VANSKELIGSTILTE</w:t>
      </w:r>
      <w:r w:rsidR="00D67F10">
        <w:rPr>
          <w:b/>
          <w:sz w:val="40"/>
          <w:szCs w:val="40"/>
        </w:rPr>
        <w:t xml:space="preserve"> PÅ BOLIGMARKEDET</w:t>
      </w:r>
    </w:p>
    <w:p w14:paraId="1CF9A917" w14:textId="77777777" w:rsidR="00120172" w:rsidRDefault="00120172">
      <w:pPr>
        <w:pStyle w:val="Standard"/>
        <w:jc w:val="center"/>
        <w:rPr>
          <w:b/>
          <w:sz w:val="40"/>
          <w:szCs w:val="40"/>
        </w:rPr>
      </w:pPr>
    </w:p>
    <w:p w14:paraId="30D8A6B5" w14:textId="77777777" w:rsidR="00120172" w:rsidRDefault="00120172">
      <w:pPr>
        <w:pStyle w:val="Standard"/>
        <w:jc w:val="center"/>
        <w:rPr>
          <w:b/>
          <w:bCs/>
          <w:sz w:val="40"/>
          <w:szCs w:val="48"/>
        </w:rPr>
      </w:pPr>
    </w:p>
    <w:p w14:paraId="02802EF2" w14:textId="7E68E5F2" w:rsidR="00120172" w:rsidRDefault="000A4CB9">
      <w:pPr>
        <w:pStyle w:val="Standard"/>
        <w:jc w:val="center"/>
        <w:rPr>
          <w:b/>
          <w:bCs/>
          <w:sz w:val="48"/>
        </w:rPr>
      </w:pPr>
      <w:r>
        <w:rPr>
          <w:noProof/>
        </w:rPr>
        <w:drawing>
          <wp:inline distT="0" distB="0" distL="0" distR="0" wp14:anchorId="5EEEB457" wp14:editId="14B5EFAB">
            <wp:extent cx="2581275" cy="3056773"/>
            <wp:effectExtent l="0" t="0" r="0" b="0"/>
            <wp:docPr id="2" name="Bilde 2" descr="Hus Hjem Eiendom - Gratis vektorgrafikk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 Hjem Eiendom - Gratis vektorgrafikk på Pixab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2019" cy="3069496"/>
                    </a:xfrm>
                    <a:prstGeom prst="rect">
                      <a:avLst/>
                    </a:prstGeom>
                    <a:noFill/>
                    <a:ln>
                      <a:noFill/>
                    </a:ln>
                  </pic:spPr>
                </pic:pic>
              </a:graphicData>
            </a:graphic>
          </wp:inline>
        </w:drawing>
      </w:r>
    </w:p>
    <w:p w14:paraId="0A95AE71" w14:textId="77777777" w:rsidR="00120172" w:rsidRDefault="00120172">
      <w:pPr>
        <w:pStyle w:val="Standard"/>
      </w:pPr>
    </w:p>
    <w:p w14:paraId="2B51E531" w14:textId="77777777" w:rsidR="00D67F10" w:rsidRDefault="00D67F10">
      <w:pPr>
        <w:pStyle w:val="Standard"/>
        <w:rPr>
          <w:b/>
          <w:sz w:val="28"/>
          <w:szCs w:val="28"/>
        </w:rPr>
      </w:pPr>
    </w:p>
    <w:p w14:paraId="7FD265D9" w14:textId="77777777" w:rsidR="00120172" w:rsidRDefault="00732EB0">
      <w:pPr>
        <w:pStyle w:val="Standard"/>
        <w:rPr>
          <w:b/>
          <w:sz w:val="28"/>
          <w:szCs w:val="28"/>
        </w:rPr>
      </w:pPr>
      <w:r>
        <w:rPr>
          <w:b/>
          <w:sz w:val="28"/>
          <w:szCs w:val="28"/>
        </w:rPr>
        <w:t>INNHOLDSFORTEGNELSE</w:t>
      </w:r>
    </w:p>
    <w:p w14:paraId="459A3DB7" w14:textId="77777777" w:rsidR="000C5237" w:rsidRDefault="000C5237">
      <w:pPr>
        <w:pStyle w:val="Standard"/>
      </w:pPr>
    </w:p>
    <w:p w14:paraId="493E6BB9" w14:textId="77777777" w:rsidR="00120172" w:rsidRDefault="00732EB0">
      <w:pPr>
        <w:pStyle w:val="Contents1"/>
        <w:tabs>
          <w:tab w:val="right" w:leader="dot" w:pos="480"/>
        </w:tabs>
      </w:pPr>
      <w:r>
        <w:rPr>
          <w:b w:val="0"/>
        </w:rPr>
        <w:fldChar w:fldCharType="begin"/>
      </w:r>
      <w:r>
        <w:instrText xml:space="preserve"> TOC \o "1-3" \h </w:instrText>
      </w:r>
      <w:r>
        <w:rPr>
          <w:b w:val="0"/>
        </w:rPr>
        <w:fldChar w:fldCharType="separate"/>
      </w:r>
      <w:hyperlink w:anchor="_Toc442434225" w:history="1">
        <w:r>
          <w:t>1</w:t>
        </w:r>
      </w:hyperlink>
      <w:hyperlink w:anchor="_Toc442434225" w:history="1">
        <w:r>
          <w:rPr>
            <w:rFonts w:ascii="Calibri" w:eastAsia="F" w:hAnsi="Calibri" w:cs="F"/>
            <w:b w:val="0"/>
            <w:sz w:val="22"/>
            <w:szCs w:val="22"/>
          </w:rPr>
          <w:tab/>
        </w:r>
      </w:hyperlink>
      <w:hyperlink w:anchor="_Toc442434225" w:history="1">
        <w:r>
          <w:t>OPPDRAGET</w:t>
        </w:r>
      </w:hyperlink>
      <w:hyperlink w:anchor="_Toc442434225" w:history="1">
        <w:r>
          <w:tab/>
          <w:t>3</w:t>
        </w:r>
      </w:hyperlink>
    </w:p>
    <w:p w14:paraId="7AB774AA" w14:textId="77777777" w:rsidR="00120172" w:rsidRDefault="00880ACF" w:rsidP="000C5237">
      <w:pPr>
        <w:pStyle w:val="Contents2"/>
      </w:pPr>
      <w:hyperlink w:anchor="_Toc442434226" w:history="1">
        <w:r w:rsidR="00732EB0">
          <w:t>1.1</w:t>
        </w:r>
      </w:hyperlink>
      <w:hyperlink w:anchor="_Toc442434226" w:history="1">
        <w:r w:rsidR="00732EB0">
          <w:rPr>
            <w:rFonts w:ascii="Calibri" w:eastAsia="F" w:hAnsi="Calibri" w:cs="F"/>
            <w:sz w:val="22"/>
            <w:szCs w:val="22"/>
          </w:rPr>
          <w:tab/>
        </w:r>
      </w:hyperlink>
      <w:hyperlink w:anchor="_Toc442434226" w:history="1">
        <w:r w:rsidR="00732EB0">
          <w:t>Oppdragsgiver</w:t>
        </w:r>
      </w:hyperlink>
      <w:hyperlink w:anchor="_Toc442434226" w:history="1">
        <w:r w:rsidR="00732EB0">
          <w:tab/>
          <w:t>3</w:t>
        </w:r>
      </w:hyperlink>
    </w:p>
    <w:p w14:paraId="6B03A381" w14:textId="77777777" w:rsidR="00120172" w:rsidRDefault="00880ACF" w:rsidP="000C5237">
      <w:pPr>
        <w:pStyle w:val="Contents2"/>
      </w:pPr>
      <w:hyperlink w:anchor="_Toc442434227" w:history="1">
        <w:r w:rsidR="00732EB0">
          <w:t>1.2</w:t>
        </w:r>
      </w:hyperlink>
      <w:hyperlink w:anchor="_Toc442434227" w:history="1">
        <w:r w:rsidR="00732EB0">
          <w:rPr>
            <w:rFonts w:ascii="Calibri" w:eastAsia="F" w:hAnsi="Calibri" w:cs="F"/>
            <w:sz w:val="22"/>
            <w:szCs w:val="22"/>
          </w:rPr>
          <w:tab/>
        </w:r>
      </w:hyperlink>
      <w:hyperlink w:anchor="_Toc442434227" w:history="1">
        <w:r w:rsidR="00732EB0">
          <w:t>Anskaffelsens formål og omfang</w:t>
        </w:r>
      </w:hyperlink>
      <w:hyperlink w:anchor="_Toc442434227" w:history="1">
        <w:r w:rsidR="00732EB0">
          <w:tab/>
          <w:t>3</w:t>
        </w:r>
      </w:hyperlink>
    </w:p>
    <w:p w14:paraId="05A46E8C" w14:textId="77777777" w:rsidR="00120172" w:rsidRDefault="00880ACF" w:rsidP="000C5237">
      <w:pPr>
        <w:pStyle w:val="Contents2"/>
      </w:pPr>
      <w:hyperlink w:anchor="_Toc442434228" w:history="1">
        <w:r w:rsidR="00732EB0">
          <w:t>1.3</w:t>
        </w:r>
      </w:hyperlink>
      <w:hyperlink w:anchor="_Toc442434228" w:history="1">
        <w:r w:rsidR="00732EB0">
          <w:rPr>
            <w:rFonts w:ascii="Calibri" w:eastAsia="F" w:hAnsi="Calibri" w:cs="F"/>
            <w:sz w:val="22"/>
            <w:szCs w:val="22"/>
          </w:rPr>
          <w:tab/>
        </w:r>
      </w:hyperlink>
      <w:hyperlink w:anchor="_Toc442434228" w:history="1">
        <w:r w:rsidR="00732EB0">
          <w:t>Fremdriftsplan for anskaffelsesprosessen</w:t>
        </w:r>
      </w:hyperlink>
      <w:hyperlink w:anchor="_Toc442434228" w:history="1">
        <w:r w:rsidR="00732EB0">
          <w:tab/>
          <w:t>4</w:t>
        </w:r>
      </w:hyperlink>
    </w:p>
    <w:p w14:paraId="1031ACE1" w14:textId="77777777" w:rsidR="00120172" w:rsidRDefault="00880ACF" w:rsidP="000C5237">
      <w:pPr>
        <w:pStyle w:val="Contents2"/>
      </w:pPr>
      <w:hyperlink w:anchor="_Toc442434229" w:history="1">
        <w:r w:rsidR="00732EB0">
          <w:t>1.4</w:t>
        </w:r>
      </w:hyperlink>
      <w:hyperlink w:anchor="_Toc442434229" w:history="1">
        <w:r w:rsidR="00732EB0">
          <w:rPr>
            <w:rFonts w:ascii="Calibri" w:eastAsia="F" w:hAnsi="Calibri" w:cs="F"/>
            <w:sz w:val="22"/>
            <w:szCs w:val="22"/>
          </w:rPr>
          <w:tab/>
        </w:r>
      </w:hyperlink>
      <w:hyperlink w:anchor="_Toc442434229" w:history="1">
        <w:r w:rsidR="00732EB0">
          <w:t>Kontrakt</w:t>
        </w:r>
      </w:hyperlink>
      <w:hyperlink w:anchor="_Toc442434229" w:history="1">
        <w:r w:rsidR="00732EB0">
          <w:tab/>
          <w:t>4</w:t>
        </w:r>
      </w:hyperlink>
    </w:p>
    <w:p w14:paraId="5CC1FA2B" w14:textId="77777777" w:rsidR="00120172" w:rsidRDefault="00880ACF">
      <w:pPr>
        <w:pStyle w:val="Contents3"/>
        <w:tabs>
          <w:tab w:val="right" w:leader="dot" w:pos="1800"/>
          <w:tab w:val="right" w:leader="dot" w:pos="9540"/>
        </w:tabs>
      </w:pPr>
      <w:hyperlink w:anchor="_Toc442434230" w:history="1">
        <w:r w:rsidR="00732EB0">
          <w:t>1.4.1</w:t>
        </w:r>
      </w:hyperlink>
      <w:hyperlink w:anchor="_Toc442434230" w:history="1">
        <w:r w:rsidR="00732EB0">
          <w:rPr>
            <w:rFonts w:ascii="Calibri" w:eastAsia="F" w:hAnsi="Calibri" w:cs="F"/>
            <w:sz w:val="22"/>
            <w:szCs w:val="22"/>
          </w:rPr>
          <w:tab/>
        </w:r>
      </w:hyperlink>
      <w:hyperlink w:anchor="_Toc442434230" w:history="1">
        <w:r w:rsidR="00732EB0">
          <w:t>Kontraktsperiode</w:t>
        </w:r>
      </w:hyperlink>
      <w:r w:rsidR="000C5237">
        <w:t>…………………………………………………………………….4</w:t>
      </w:r>
    </w:p>
    <w:p w14:paraId="18A739F0" w14:textId="77777777" w:rsidR="00120172" w:rsidRDefault="00880ACF">
      <w:pPr>
        <w:pStyle w:val="Contents3"/>
        <w:tabs>
          <w:tab w:val="right" w:leader="dot" w:pos="1800"/>
          <w:tab w:val="right" w:leader="dot" w:pos="9540"/>
        </w:tabs>
      </w:pPr>
      <w:hyperlink w:anchor="_Toc442434231" w:history="1">
        <w:r w:rsidR="00732EB0">
          <w:t>1.4.2</w:t>
        </w:r>
      </w:hyperlink>
      <w:hyperlink w:anchor="_Toc442434231" w:history="1">
        <w:r w:rsidR="00732EB0">
          <w:rPr>
            <w:rFonts w:ascii="Calibri" w:eastAsia="F" w:hAnsi="Calibri" w:cs="F"/>
            <w:sz w:val="22"/>
            <w:szCs w:val="22"/>
          </w:rPr>
          <w:tab/>
        </w:r>
      </w:hyperlink>
      <w:hyperlink w:anchor="_Toc442434231" w:history="1">
        <w:r w:rsidR="00732EB0">
          <w:t>Kontraktsbestemmelser</w:t>
        </w:r>
      </w:hyperlink>
      <w:r w:rsidR="000C5237">
        <w:t>……………………………………………………………...4</w:t>
      </w:r>
    </w:p>
    <w:p w14:paraId="62665865" w14:textId="77777777" w:rsidR="00120172" w:rsidRDefault="00880ACF">
      <w:pPr>
        <w:pStyle w:val="Contents3"/>
        <w:tabs>
          <w:tab w:val="right" w:leader="dot" w:pos="1800"/>
          <w:tab w:val="right" w:leader="dot" w:pos="9540"/>
        </w:tabs>
      </w:pPr>
      <w:hyperlink w:anchor="_Toc442434236" w:history="1">
        <w:r w:rsidR="00732EB0">
          <w:t>1.4.3</w:t>
        </w:r>
      </w:hyperlink>
      <w:hyperlink w:anchor="_Toc442434236" w:history="1">
        <w:r w:rsidR="00732EB0">
          <w:rPr>
            <w:rFonts w:ascii="Calibri" w:eastAsia="F" w:hAnsi="Calibri" w:cs="F"/>
            <w:sz w:val="22"/>
            <w:szCs w:val="22"/>
          </w:rPr>
          <w:tab/>
        </w:r>
      </w:hyperlink>
      <w:hyperlink w:anchor="_Toc442434236" w:history="1">
        <w:r w:rsidR="00732EB0">
          <w:t>Brudd på skatte- og avgiftsforpliktelser</w:t>
        </w:r>
      </w:hyperlink>
      <w:hyperlink w:anchor="_Toc442434236" w:history="1">
        <w:r w:rsidR="000C5237">
          <w:t>......................................................................4</w:t>
        </w:r>
      </w:hyperlink>
    </w:p>
    <w:p w14:paraId="0B59FAFA" w14:textId="77777777" w:rsidR="00120172" w:rsidRDefault="00880ACF">
      <w:pPr>
        <w:pStyle w:val="Contents3"/>
        <w:tabs>
          <w:tab w:val="right" w:leader="dot" w:pos="1800"/>
          <w:tab w:val="right" w:leader="dot" w:pos="9540"/>
        </w:tabs>
      </w:pPr>
      <w:hyperlink w:anchor="_Toc442434237" w:history="1">
        <w:r w:rsidR="00732EB0">
          <w:t>1.4.4</w:t>
        </w:r>
      </w:hyperlink>
      <w:hyperlink w:anchor="_Toc442434237" w:history="1">
        <w:r w:rsidR="00732EB0">
          <w:rPr>
            <w:rFonts w:ascii="Calibri" w:eastAsia="F" w:hAnsi="Calibri" w:cs="F"/>
            <w:sz w:val="22"/>
            <w:szCs w:val="22"/>
          </w:rPr>
          <w:tab/>
        </w:r>
      </w:hyperlink>
      <w:hyperlink w:anchor="_Toc442434237" w:history="1">
        <w:r w:rsidR="00732EB0">
          <w:t>Brudd på konkurranselovgivningen</w:t>
        </w:r>
      </w:hyperlink>
      <w:r w:rsidR="000C5237">
        <w:t>…………………………………………………5</w:t>
      </w:r>
    </w:p>
    <w:p w14:paraId="15FE0BF5" w14:textId="77777777" w:rsidR="00120172" w:rsidRDefault="00880ACF" w:rsidP="000C5237">
      <w:pPr>
        <w:pStyle w:val="Contents2"/>
      </w:pPr>
      <w:hyperlink w:anchor="_Toc442434238" w:history="1">
        <w:r w:rsidR="00732EB0">
          <w:t>1.5</w:t>
        </w:r>
      </w:hyperlink>
      <w:hyperlink w:anchor="_Toc442434238" w:history="1">
        <w:r w:rsidR="00732EB0">
          <w:rPr>
            <w:rFonts w:ascii="Calibri" w:eastAsia="F" w:hAnsi="Calibri" w:cs="F"/>
            <w:sz w:val="22"/>
            <w:szCs w:val="22"/>
          </w:rPr>
          <w:tab/>
        </w:r>
      </w:hyperlink>
      <w:hyperlink w:anchor="_Toc442434238" w:history="1">
        <w:r w:rsidR="00732EB0">
          <w:t>Kunngjøring</w:t>
        </w:r>
      </w:hyperlink>
      <w:hyperlink w:anchor="_Toc442434238" w:history="1">
        <w:r w:rsidR="00732EB0">
          <w:tab/>
          <w:t>5</w:t>
        </w:r>
      </w:hyperlink>
    </w:p>
    <w:p w14:paraId="4E1D8640" w14:textId="77777777" w:rsidR="00120172" w:rsidRDefault="00880ACF" w:rsidP="000C5237">
      <w:pPr>
        <w:pStyle w:val="Contents2"/>
      </w:pPr>
      <w:hyperlink w:anchor="_Toc442434239" w:history="1">
        <w:r w:rsidR="00732EB0">
          <w:t>1.6</w:t>
        </w:r>
      </w:hyperlink>
      <w:hyperlink w:anchor="_Toc442434239" w:history="1">
        <w:r w:rsidR="00732EB0">
          <w:rPr>
            <w:rFonts w:ascii="Calibri" w:eastAsia="F" w:hAnsi="Calibri" w:cs="F"/>
            <w:sz w:val="22"/>
            <w:szCs w:val="22"/>
          </w:rPr>
          <w:tab/>
        </w:r>
      </w:hyperlink>
      <w:hyperlink w:anchor="_Toc442434239" w:history="1">
        <w:r w:rsidR="00732EB0">
          <w:t>Tilleggsopplysninger</w:t>
        </w:r>
      </w:hyperlink>
      <w:hyperlink w:anchor="_Toc442434239" w:history="1">
        <w:r w:rsidR="00732EB0">
          <w:tab/>
          <w:t>5</w:t>
        </w:r>
      </w:hyperlink>
    </w:p>
    <w:p w14:paraId="5DB433B1" w14:textId="77777777" w:rsidR="00120172" w:rsidRDefault="00880ACF" w:rsidP="000C5237">
      <w:pPr>
        <w:pStyle w:val="Contents2"/>
      </w:pPr>
      <w:hyperlink w:anchor="_Toc442434240" w:history="1">
        <w:r w:rsidR="00732EB0">
          <w:t>1.7</w:t>
        </w:r>
      </w:hyperlink>
      <w:hyperlink w:anchor="_Toc442434240" w:history="1">
        <w:r w:rsidR="00732EB0">
          <w:rPr>
            <w:rFonts w:ascii="Calibri" w:eastAsia="F" w:hAnsi="Calibri" w:cs="F"/>
            <w:sz w:val="22"/>
            <w:szCs w:val="22"/>
          </w:rPr>
          <w:tab/>
        </w:r>
      </w:hyperlink>
      <w:hyperlink w:anchor="_Toc442434240" w:history="1">
        <w:r w:rsidR="00732EB0">
          <w:t>Rettelser, suppleringer eller endring av konkurransegrunnlaget</w:t>
        </w:r>
      </w:hyperlink>
      <w:hyperlink w:anchor="_Toc442434240" w:history="1">
        <w:r w:rsidR="00732EB0">
          <w:tab/>
          <w:t>5</w:t>
        </w:r>
      </w:hyperlink>
    </w:p>
    <w:p w14:paraId="65300376" w14:textId="77777777" w:rsidR="00120172" w:rsidRDefault="00880ACF">
      <w:pPr>
        <w:pStyle w:val="Contents1"/>
        <w:tabs>
          <w:tab w:val="right" w:leader="dot" w:pos="480"/>
        </w:tabs>
      </w:pPr>
      <w:hyperlink w:anchor="_Toc442434241" w:history="1">
        <w:r w:rsidR="00732EB0">
          <w:t>2</w:t>
        </w:r>
      </w:hyperlink>
      <w:hyperlink w:anchor="_Toc442434241" w:history="1">
        <w:r w:rsidR="00732EB0">
          <w:rPr>
            <w:rFonts w:ascii="Calibri" w:eastAsia="F" w:hAnsi="Calibri" w:cs="F"/>
            <w:b w:val="0"/>
            <w:sz w:val="22"/>
            <w:szCs w:val="22"/>
          </w:rPr>
          <w:tab/>
        </w:r>
      </w:hyperlink>
      <w:hyperlink w:anchor="_Toc442434241" w:history="1">
        <w:r w:rsidR="00732EB0">
          <w:t>REGLER FOR GJENNOMFØRING AV KONKURRANSEN</w:t>
        </w:r>
      </w:hyperlink>
      <w:hyperlink w:anchor="_Toc442434241" w:history="1">
        <w:r w:rsidR="00732EB0">
          <w:tab/>
          <w:t>5</w:t>
        </w:r>
      </w:hyperlink>
    </w:p>
    <w:p w14:paraId="7E01B0DC" w14:textId="77777777" w:rsidR="00120172" w:rsidRDefault="00880ACF" w:rsidP="000C5237">
      <w:pPr>
        <w:pStyle w:val="Contents2"/>
      </w:pPr>
      <w:hyperlink w:anchor="_Toc442434242" w:history="1">
        <w:r w:rsidR="00732EB0">
          <w:t>2.1</w:t>
        </w:r>
      </w:hyperlink>
      <w:hyperlink w:anchor="_Toc442434242" w:history="1">
        <w:r w:rsidR="00732EB0">
          <w:rPr>
            <w:rFonts w:ascii="Calibri" w:eastAsia="F" w:hAnsi="Calibri" w:cs="F"/>
            <w:sz w:val="22"/>
            <w:szCs w:val="22"/>
          </w:rPr>
          <w:tab/>
        </w:r>
      </w:hyperlink>
      <w:hyperlink w:anchor="_Toc442434242" w:history="1">
        <w:r w:rsidR="00732EB0">
          <w:t>Prosedyre</w:t>
        </w:r>
      </w:hyperlink>
      <w:hyperlink w:anchor="_Toc442434242" w:history="1">
        <w:r w:rsidR="00732EB0">
          <w:tab/>
          <w:t>5</w:t>
        </w:r>
      </w:hyperlink>
    </w:p>
    <w:p w14:paraId="21EAF6D0" w14:textId="77777777" w:rsidR="00120172" w:rsidRDefault="00880ACF" w:rsidP="000C5237">
      <w:pPr>
        <w:pStyle w:val="Contents2"/>
      </w:pPr>
      <w:hyperlink w:anchor="_Toc442434243" w:history="1">
        <w:r w:rsidR="00732EB0">
          <w:t>2.2</w:t>
        </w:r>
      </w:hyperlink>
      <w:hyperlink w:anchor="_Toc442434243" w:history="1">
        <w:r w:rsidR="00732EB0">
          <w:rPr>
            <w:rFonts w:ascii="Calibri" w:eastAsia="F" w:hAnsi="Calibri" w:cs="F"/>
            <w:sz w:val="22"/>
            <w:szCs w:val="22"/>
          </w:rPr>
          <w:tab/>
        </w:r>
      </w:hyperlink>
      <w:hyperlink w:anchor="_Toc442434243" w:history="1">
        <w:r w:rsidR="00732EB0">
          <w:t>Tilbudsfrist</w:t>
        </w:r>
      </w:hyperlink>
      <w:hyperlink w:anchor="_Toc442434243" w:history="1">
        <w:r w:rsidR="00732EB0">
          <w:tab/>
          <w:t>6</w:t>
        </w:r>
      </w:hyperlink>
    </w:p>
    <w:p w14:paraId="4E0B4C06" w14:textId="77777777" w:rsidR="00120172" w:rsidRDefault="00880ACF" w:rsidP="000C5237">
      <w:pPr>
        <w:pStyle w:val="Contents2"/>
      </w:pPr>
      <w:hyperlink w:anchor="_Toc442434244" w:history="1">
        <w:r w:rsidR="00732EB0">
          <w:t>2.3</w:t>
        </w:r>
      </w:hyperlink>
      <w:hyperlink w:anchor="_Toc442434244" w:history="1">
        <w:r w:rsidR="00732EB0">
          <w:rPr>
            <w:rFonts w:ascii="Calibri" w:eastAsia="F" w:hAnsi="Calibri" w:cs="F"/>
            <w:sz w:val="22"/>
            <w:szCs w:val="22"/>
          </w:rPr>
          <w:tab/>
        </w:r>
      </w:hyperlink>
      <w:hyperlink w:anchor="_Toc442434244" w:history="1">
        <w:r w:rsidR="00732EB0">
          <w:t>Innlevering av tilbud</w:t>
        </w:r>
      </w:hyperlink>
      <w:hyperlink w:anchor="_Toc442434244" w:history="1">
        <w:r w:rsidR="00732EB0">
          <w:tab/>
          <w:t>6</w:t>
        </w:r>
      </w:hyperlink>
    </w:p>
    <w:p w14:paraId="22706071" w14:textId="77777777" w:rsidR="00120172" w:rsidRDefault="00880ACF" w:rsidP="000C5237">
      <w:pPr>
        <w:pStyle w:val="Contents2"/>
      </w:pPr>
      <w:hyperlink w:anchor="_Toc442434245" w:history="1">
        <w:r w:rsidR="00732EB0">
          <w:t>2.4</w:t>
        </w:r>
      </w:hyperlink>
      <w:hyperlink w:anchor="_Toc442434245" w:history="1">
        <w:r w:rsidR="00732EB0">
          <w:rPr>
            <w:rFonts w:ascii="Calibri" w:eastAsia="F" w:hAnsi="Calibri" w:cs="F"/>
            <w:sz w:val="22"/>
            <w:szCs w:val="22"/>
          </w:rPr>
          <w:tab/>
        </w:r>
      </w:hyperlink>
      <w:hyperlink w:anchor="_Toc442434245" w:history="1">
        <w:r w:rsidR="00732EB0">
          <w:t>Ønsket presentasjonsform</w:t>
        </w:r>
      </w:hyperlink>
      <w:hyperlink w:anchor="_Toc442434245" w:history="1">
        <w:r w:rsidR="00732EB0">
          <w:tab/>
          <w:t>6</w:t>
        </w:r>
      </w:hyperlink>
    </w:p>
    <w:p w14:paraId="4C3095DC" w14:textId="77777777" w:rsidR="00120172" w:rsidRDefault="00880ACF" w:rsidP="000C5237">
      <w:pPr>
        <w:pStyle w:val="Contents2"/>
      </w:pPr>
      <w:hyperlink w:anchor="_Toc442434246" w:history="1">
        <w:r w:rsidR="00732EB0">
          <w:t>2.5</w:t>
        </w:r>
      </w:hyperlink>
      <w:hyperlink w:anchor="_Toc442434246" w:history="1">
        <w:r w:rsidR="00732EB0">
          <w:rPr>
            <w:rFonts w:ascii="Calibri" w:eastAsia="F" w:hAnsi="Calibri" w:cs="F"/>
            <w:sz w:val="22"/>
            <w:szCs w:val="22"/>
          </w:rPr>
          <w:tab/>
        </w:r>
      </w:hyperlink>
      <w:hyperlink w:anchor="_Toc442434246" w:history="1">
        <w:r w:rsidR="00732EB0">
          <w:t>Vedståelsesfrist</w:t>
        </w:r>
      </w:hyperlink>
      <w:hyperlink w:anchor="_Toc442434246" w:history="1">
        <w:r w:rsidR="00732EB0">
          <w:tab/>
          <w:t>7</w:t>
        </w:r>
      </w:hyperlink>
    </w:p>
    <w:p w14:paraId="7EF1E558" w14:textId="77777777" w:rsidR="00120172" w:rsidRDefault="00880ACF" w:rsidP="000C5237">
      <w:pPr>
        <w:pStyle w:val="Contents2"/>
      </w:pPr>
      <w:hyperlink w:anchor="_Toc442434247" w:history="1">
        <w:r w:rsidR="00732EB0">
          <w:t>2.6</w:t>
        </w:r>
      </w:hyperlink>
      <w:hyperlink w:anchor="_Toc442434247" w:history="1">
        <w:r w:rsidR="00732EB0">
          <w:rPr>
            <w:rFonts w:ascii="Calibri" w:eastAsia="F" w:hAnsi="Calibri" w:cs="F"/>
            <w:sz w:val="22"/>
            <w:szCs w:val="22"/>
          </w:rPr>
          <w:tab/>
        </w:r>
      </w:hyperlink>
      <w:hyperlink w:anchor="_Toc442434247" w:history="1">
        <w:r w:rsidR="00732EB0">
          <w:rPr>
            <w:rFonts w:eastAsia="F"/>
            <w:sz w:val="22"/>
            <w:szCs w:val="22"/>
          </w:rPr>
          <w:t>Leverandørkonferanse</w:t>
        </w:r>
      </w:hyperlink>
      <w:r w:rsidR="00732EB0">
        <w:tab/>
        <w:t>7</w:t>
      </w:r>
    </w:p>
    <w:p w14:paraId="20F86BAA" w14:textId="77777777" w:rsidR="00120172" w:rsidRDefault="00880ACF" w:rsidP="000C5237">
      <w:pPr>
        <w:pStyle w:val="Contents2"/>
      </w:pPr>
      <w:hyperlink w:anchor="_Toc442434250" w:history="1">
        <w:r w:rsidR="00732EB0">
          <w:t>2.7</w:t>
        </w:r>
      </w:hyperlink>
      <w:hyperlink w:anchor="_Toc442434250" w:history="1">
        <w:r w:rsidR="00732EB0">
          <w:rPr>
            <w:rFonts w:ascii="Calibri" w:eastAsia="F" w:hAnsi="Calibri" w:cs="F"/>
            <w:sz w:val="22"/>
            <w:szCs w:val="22"/>
          </w:rPr>
          <w:tab/>
        </w:r>
      </w:hyperlink>
      <w:hyperlink w:anchor="_Toc442434250" w:history="1">
        <w:r w:rsidR="00732EB0">
          <w:t>Opplysningsplikt</w:t>
        </w:r>
      </w:hyperlink>
      <w:hyperlink w:anchor="_Toc442434250" w:history="1">
        <w:r w:rsidR="00732EB0">
          <w:tab/>
          <w:t>7</w:t>
        </w:r>
      </w:hyperlink>
    </w:p>
    <w:p w14:paraId="7547149F" w14:textId="77777777" w:rsidR="00120172" w:rsidRDefault="00880ACF" w:rsidP="000C5237">
      <w:pPr>
        <w:pStyle w:val="Contents2"/>
      </w:pPr>
      <w:hyperlink w:anchor="_Toc442434251" w:history="1">
        <w:r w:rsidR="00732EB0">
          <w:t>2.8</w:t>
        </w:r>
      </w:hyperlink>
      <w:hyperlink w:anchor="_Toc442434251" w:history="1">
        <w:r w:rsidR="00732EB0">
          <w:rPr>
            <w:rFonts w:ascii="Calibri" w:eastAsia="F" w:hAnsi="Calibri" w:cs="F"/>
            <w:sz w:val="22"/>
            <w:szCs w:val="22"/>
          </w:rPr>
          <w:tab/>
        </w:r>
      </w:hyperlink>
      <w:hyperlink w:anchor="_Toc442434251" w:history="1">
        <w:r w:rsidR="00732EB0">
          <w:t>Taushetsplikt</w:t>
        </w:r>
      </w:hyperlink>
      <w:hyperlink w:anchor="_Toc442434251" w:history="1">
        <w:r w:rsidR="00732EB0">
          <w:tab/>
          <w:t>7</w:t>
        </w:r>
      </w:hyperlink>
    </w:p>
    <w:p w14:paraId="42EF1CFC" w14:textId="77777777" w:rsidR="00120172" w:rsidRDefault="00880ACF" w:rsidP="000C5237">
      <w:pPr>
        <w:pStyle w:val="Contents2"/>
      </w:pPr>
      <w:hyperlink w:anchor="_Toc442434252" w:history="1">
        <w:r w:rsidR="00732EB0">
          <w:t>2.9</w:t>
        </w:r>
      </w:hyperlink>
      <w:hyperlink w:anchor="_Toc442434252" w:history="1">
        <w:r w:rsidR="00732EB0">
          <w:rPr>
            <w:rFonts w:ascii="Calibri" w:eastAsia="F" w:hAnsi="Calibri" w:cs="F"/>
            <w:sz w:val="22"/>
            <w:szCs w:val="22"/>
          </w:rPr>
          <w:tab/>
        </w:r>
      </w:hyperlink>
      <w:hyperlink w:anchor="_Toc442434252" w:history="1">
        <w:r w:rsidR="00732EB0">
          <w:t>Offentlighet</w:t>
        </w:r>
      </w:hyperlink>
      <w:hyperlink w:anchor="_Toc442434252" w:history="1">
        <w:r w:rsidR="00732EB0">
          <w:tab/>
          <w:t>7</w:t>
        </w:r>
      </w:hyperlink>
    </w:p>
    <w:p w14:paraId="6A37C7E3" w14:textId="77777777" w:rsidR="00120172" w:rsidRDefault="00880ACF" w:rsidP="000C5237">
      <w:pPr>
        <w:pStyle w:val="Contents2"/>
      </w:pPr>
      <w:hyperlink w:anchor="_Toc442434254" w:history="1">
        <w:r w:rsidR="00732EB0">
          <w:t>2.10</w:t>
        </w:r>
      </w:hyperlink>
      <w:hyperlink w:anchor="_Toc442434254" w:history="1">
        <w:r w:rsidR="00732EB0">
          <w:rPr>
            <w:rFonts w:ascii="Calibri" w:eastAsia="F" w:hAnsi="Calibri" w:cs="F"/>
            <w:sz w:val="22"/>
            <w:szCs w:val="22"/>
          </w:rPr>
          <w:tab/>
        </w:r>
      </w:hyperlink>
      <w:hyperlink w:anchor="_Toc442434254" w:history="1">
        <w:r w:rsidR="00732EB0">
          <w:t>Forbehold</w:t>
        </w:r>
      </w:hyperlink>
      <w:hyperlink w:anchor="_Toc442434254" w:history="1">
        <w:r w:rsidR="00732EB0">
          <w:tab/>
          <w:t>7</w:t>
        </w:r>
      </w:hyperlink>
    </w:p>
    <w:p w14:paraId="78FC2F38" w14:textId="77777777" w:rsidR="00120172" w:rsidRDefault="00880ACF">
      <w:pPr>
        <w:pStyle w:val="Contents1"/>
        <w:tabs>
          <w:tab w:val="right" w:leader="dot" w:pos="480"/>
        </w:tabs>
      </w:pPr>
      <w:hyperlink w:anchor="_Toc442434256" w:history="1">
        <w:r w:rsidR="00732EB0">
          <w:t>3</w:t>
        </w:r>
      </w:hyperlink>
      <w:hyperlink w:anchor="_Toc442434256" w:history="1">
        <w:r w:rsidR="00732EB0">
          <w:rPr>
            <w:rFonts w:ascii="Calibri" w:eastAsia="F" w:hAnsi="Calibri" w:cs="F"/>
            <w:b w:val="0"/>
            <w:sz w:val="22"/>
            <w:szCs w:val="22"/>
          </w:rPr>
          <w:tab/>
        </w:r>
      </w:hyperlink>
      <w:hyperlink w:anchor="_Toc442434256" w:history="1">
        <w:r w:rsidR="00732EB0">
          <w:t>KRAV TIL LEVERANDØRENE</w:t>
        </w:r>
      </w:hyperlink>
      <w:hyperlink w:anchor="_Toc442434256" w:history="1">
        <w:r w:rsidR="00732EB0">
          <w:tab/>
          <w:t>8</w:t>
        </w:r>
      </w:hyperlink>
    </w:p>
    <w:p w14:paraId="7DAC7CCA" w14:textId="77777777" w:rsidR="00120172" w:rsidRDefault="00880ACF" w:rsidP="000C5237">
      <w:pPr>
        <w:pStyle w:val="Contents2"/>
      </w:pPr>
      <w:hyperlink w:anchor="_Toc442434257" w:history="1">
        <w:r w:rsidR="00732EB0">
          <w:t>3.1</w:t>
        </w:r>
      </w:hyperlink>
      <w:hyperlink w:anchor="_Toc442434257" w:history="1">
        <w:r w:rsidR="00732EB0">
          <w:rPr>
            <w:rFonts w:ascii="Calibri" w:eastAsia="F" w:hAnsi="Calibri" w:cs="F"/>
            <w:sz w:val="22"/>
            <w:szCs w:val="22"/>
          </w:rPr>
          <w:tab/>
        </w:r>
      </w:hyperlink>
      <w:hyperlink w:anchor="_Toc442434257" w:history="1">
        <w:r w:rsidR="00732EB0">
          <w:t>Generelt om kvalifikasjonskrav</w:t>
        </w:r>
      </w:hyperlink>
      <w:hyperlink w:anchor="_Toc442434257" w:history="1">
        <w:r w:rsidR="00732EB0">
          <w:tab/>
          <w:t>8</w:t>
        </w:r>
      </w:hyperlink>
    </w:p>
    <w:p w14:paraId="5D3C3E8D" w14:textId="77777777" w:rsidR="00120172" w:rsidRDefault="00880ACF" w:rsidP="000C5237">
      <w:pPr>
        <w:pStyle w:val="Contents2"/>
      </w:pPr>
      <w:hyperlink w:anchor="_Toc442434258" w:history="1">
        <w:r w:rsidR="00732EB0">
          <w:t>3.2</w:t>
        </w:r>
      </w:hyperlink>
      <w:hyperlink w:anchor="_Toc442434258" w:history="1">
        <w:r w:rsidR="00732EB0">
          <w:rPr>
            <w:rFonts w:ascii="Calibri" w:eastAsia="F" w:hAnsi="Calibri" w:cs="F"/>
            <w:sz w:val="22"/>
            <w:szCs w:val="22"/>
          </w:rPr>
          <w:tab/>
        </w:r>
      </w:hyperlink>
      <w:hyperlink w:anchor="_Toc442434258" w:history="1">
        <w:r w:rsidR="00732EB0">
          <w:t>Obligatoriske og ufravikelige krav</w:t>
        </w:r>
      </w:hyperlink>
      <w:hyperlink w:anchor="_Toc442434258" w:history="1">
        <w:r w:rsidR="00732EB0">
          <w:tab/>
          <w:t>8</w:t>
        </w:r>
      </w:hyperlink>
    </w:p>
    <w:p w14:paraId="6B389A16" w14:textId="77777777" w:rsidR="00120172" w:rsidRDefault="00880ACF" w:rsidP="000C5237">
      <w:pPr>
        <w:pStyle w:val="Contents2"/>
      </w:pPr>
      <w:hyperlink w:anchor="_Toc442434259" w:history="1">
        <w:r w:rsidR="00732EB0">
          <w:t>3.3</w:t>
        </w:r>
      </w:hyperlink>
      <w:hyperlink w:anchor="_Toc442434259" w:history="1">
        <w:r w:rsidR="00732EB0">
          <w:rPr>
            <w:rFonts w:ascii="Calibri" w:eastAsia="F" w:hAnsi="Calibri" w:cs="F"/>
            <w:sz w:val="22"/>
            <w:szCs w:val="22"/>
          </w:rPr>
          <w:tab/>
        </w:r>
      </w:hyperlink>
      <w:hyperlink w:anchor="_Toc442434259" w:history="1">
        <w:r w:rsidR="00732EB0">
          <w:t>Andre kvalifikasjonskrav</w:t>
        </w:r>
      </w:hyperlink>
      <w:hyperlink w:anchor="_Toc442434259" w:history="1">
        <w:r w:rsidR="00732EB0">
          <w:tab/>
          <w:t>8</w:t>
        </w:r>
      </w:hyperlink>
    </w:p>
    <w:p w14:paraId="757C2949" w14:textId="77777777" w:rsidR="00120172" w:rsidRDefault="00880ACF">
      <w:pPr>
        <w:pStyle w:val="Contents3"/>
        <w:tabs>
          <w:tab w:val="right" w:leader="dot" w:pos="1800"/>
          <w:tab w:val="right" w:leader="dot" w:pos="9540"/>
        </w:tabs>
      </w:pPr>
      <w:hyperlink w:anchor="_Toc442434260" w:history="1">
        <w:r w:rsidR="00732EB0">
          <w:t>3.3.1</w:t>
        </w:r>
      </w:hyperlink>
      <w:hyperlink w:anchor="_Toc442434260" w:history="1">
        <w:r w:rsidR="00732EB0">
          <w:rPr>
            <w:rFonts w:ascii="Calibri" w:eastAsia="F" w:hAnsi="Calibri" w:cs="F"/>
            <w:sz w:val="22"/>
            <w:szCs w:val="22"/>
          </w:rPr>
          <w:tab/>
        </w:r>
      </w:hyperlink>
      <w:hyperlink w:anchor="_Toc442434260" w:history="1">
        <w:r w:rsidR="00732EB0">
          <w:t>Krav knyttet til leverandørens organisatoriske og juridiske stilling</w:t>
        </w:r>
      </w:hyperlink>
      <w:hyperlink w:anchor="_Toc442434260" w:history="1">
        <w:r w:rsidR="00E574DD">
          <w:t>...........................8</w:t>
        </w:r>
      </w:hyperlink>
    </w:p>
    <w:p w14:paraId="3748D9EB" w14:textId="77777777" w:rsidR="00120172" w:rsidRDefault="00880ACF">
      <w:pPr>
        <w:pStyle w:val="Contents3"/>
        <w:tabs>
          <w:tab w:val="right" w:leader="dot" w:pos="1800"/>
          <w:tab w:val="right" w:leader="dot" w:pos="9540"/>
        </w:tabs>
      </w:pPr>
      <w:hyperlink w:anchor="_Toc442434261" w:history="1">
        <w:r w:rsidR="00732EB0">
          <w:t>3.3.2</w:t>
        </w:r>
      </w:hyperlink>
      <w:hyperlink w:anchor="_Toc442434261" w:history="1">
        <w:r w:rsidR="00732EB0">
          <w:rPr>
            <w:rFonts w:ascii="Calibri" w:eastAsia="F" w:hAnsi="Calibri" w:cs="F"/>
            <w:sz w:val="22"/>
            <w:szCs w:val="22"/>
          </w:rPr>
          <w:tab/>
        </w:r>
      </w:hyperlink>
      <w:hyperlink w:anchor="_Toc442434261" w:history="1">
        <w:r w:rsidR="00732EB0">
          <w:t>Krav knyttet til leverandørens økonomiske og finansielle stilling</w:t>
        </w:r>
      </w:hyperlink>
      <w:r w:rsidR="00E574DD">
        <w:t>………………….8</w:t>
      </w:r>
    </w:p>
    <w:p w14:paraId="00DCE4B7" w14:textId="77777777" w:rsidR="00120172" w:rsidRDefault="00880ACF">
      <w:pPr>
        <w:pStyle w:val="Contents3"/>
        <w:tabs>
          <w:tab w:val="right" w:leader="dot" w:pos="1800"/>
          <w:tab w:val="right" w:leader="dot" w:pos="9540"/>
        </w:tabs>
      </w:pPr>
      <w:hyperlink w:anchor="_Toc442434262" w:history="1">
        <w:r w:rsidR="00732EB0">
          <w:t>3.3.3</w:t>
        </w:r>
      </w:hyperlink>
      <w:hyperlink w:anchor="_Toc442434262" w:history="1">
        <w:r w:rsidR="00732EB0">
          <w:rPr>
            <w:rFonts w:ascii="Calibri" w:eastAsia="F" w:hAnsi="Calibri" w:cs="F"/>
            <w:sz w:val="22"/>
            <w:szCs w:val="22"/>
          </w:rPr>
          <w:tab/>
        </w:r>
      </w:hyperlink>
      <w:hyperlink w:anchor="_Toc442434262" w:history="1">
        <w:r w:rsidR="00732EB0">
          <w:t>Krav knyttet til leverandørens tekniske/faglige kvalifikasjoner</w:t>
        </w:r>
      </w:hyperlink>
      <w:r w:rsidR="00E574DD">
        <w:t>…………………….8</w:t>
      </w:r>
    </w:p>
    <w:p w14:paraId="353EF9E0" w14:textId="77777777" w:rsidR="00120172" w:rsidRDefault="00880ACF">
      <w:pPr>
        <w:pStyle w:val="Contents1"/>
        <w:tabs>
          <w:tab w:val="right" w:leader="dot" w:pos="480"/>
        </w:tabs>
      </w:pPr>
      <w:hyperlink w:anchor="_Toc442434263" w:history="1">
        <w:r w:rsidR="00732EB0">
          <w:t>4</w:t>
        </w:r>
      </w:hyperlink>
      <w:hyperlink w:anchor="_Toc442434263" w:history="1">
        <w:r w:rsidR="00732EB0">
          <w:rPr>
            <w:rFonts w:ascii="Calibri" w:eastAsia="F" w:hAnsi="Calibri" w:cs="F"/>
            <w:b w:val="0"/>
            <w:sz w:val="22"/>
            <w:szCs w:val="22"/>
          </w:rPr>
          <w:tab/>
        </w:r>
      </w:hyperlink>
      <w:hyperlink w:anchor="_Toc442434263" w:history="1">
        <w:r w:rsidR="00732EB0">
          <w:t>OPPDRAGSGIVERS BEHANDLING AV TILBUDENE</w:t>
        </w:r>
      </w:hyperlink>
      <w:hyperlink w:anchor="_Toc442434263" w:history="1">
        <w:r w:rsidR="00732EB0">
          <w:tab/>
          <w:t>9</w:t>
        </w:r>
      </w:hyperlink>
    </w:p>
    <w:p w14:paraId="4C04E576" w14:textId="77777777" w:rsidR="00120172" w:rsidRDefault="00880ACF" w:rsidP="000C5237">
      <w:pPr>
        <w:pStyle w:val="Contents2"/>
      </w:pPr>
      <w:hyperlink w:anchor="_Toc442434264" w:history="1">
        <w:r w:rsidR="00732EB0">
          <w:t>4.1</w:t>
        </w:r>
      </w:hyperlink>
      <w:hyperlink w:anchor="_Toc442434264" w:history="1">
        <w:r w:rsidR="00732EB0">
          <w:rPr>
            <w:rFonts w:ascii="Calibri" w:eastAsia="F" w:hAnsi="Calibri" w:cs="F"/>
            <w:sz w:val="22"/>
            <w:szCs w:val="22"/>
          </w:rPr>
          <w:tab/>
        </w:r>
      </w:hyperlink>
      <w:hyperlink w:anchor="_Toc442434264" w:history="1">
        <w:r w:rsidR="00732EB0">
          <w:t>Tildelingskriteriene</w:t>
        </w:r>
      </w:hyperlink>
      <w:hyperlink w:anchor="_Toc442434264" w:history="1">
        <w:r w:rsidR="00732EB0">
          <w:tab/>
          <w:t>9</w:t>
        </w:r>
      </w:hyperlink>
    </w:p>
    <w:p w14:paraId="72E3B219" w14:textId="77777777" w:rsidR="00120172" w:rsidRDefault="00880ACF" w:rsidP="000C5237">
      <w:pPr>
        <w:pStyle w:val="Contents2"/>
      </w:pPr>
      <w:hyperlink w:anchor="_Toc442434265" w:history="1">
        <w:r w:rsidR="00732EB0">
          <w:t>4.2</w:t>
        </w:r>
      </w:hyperlink>
      <w:hyperlink w:anchor="_Toc442434265" w:history="1">
        <w:r w:rsidR="00732EB0">
          <w:rPr>
            <w:rFonts w:ascii="Calibri" w:eastAsia="F" w:hAnsi="Calibri" w:cs="F"/>
            <w:sz w:val="22"/>
            <w:szCs w:val="22"/>
          </w:rPr>
          <w:tab/>
        </w:r>
      </w:hyperlink>
      <w:hyperlink w:anchor="_Toc442434265" w:history="1">
        <w:r w:rsidR="00732EB0">
          <w:t>Tildeling av kontrakt og begrunnelse</w:t>
        </w:r>
      </w:hyperlink>
      <w:hyperlink w:anchor="_Toc442434265" w:history="1">
        <w:r w:rsidR="00732EB0">
          <w:tab/>
          <w:t>9</w:t>
        </w:r>
      </w:hyperlink>
    </w:p>
    <w:p w14:paraId="24346384" w14:textId="77777777" w:rsidR="00120172" w:rsidRDefault="00120172">
      <w:pPr>
        <w:pStyle w:val="Standard"/>
        <w:tabs>
          <w:tab w:val="right" w:leader="dot" w:pos="9406"/>
        </w:tabs>
      </w:pPr>
    </w:p>
    <w:p w14:paraId="08DA914E" w14:textId="77777777" w:rsidR="00120172" w:rsidRDefault="00732EB0">
      <w:pPr>
        <w:pStyle w:val="Overskrift1"/>
        <w:pageBreakBefore/>
        <w:numPr>
          <w:ilvl w:val="0"/>
          <w:numId w:val="18"/>
        </w:numPr>
        <w:tabs>
          <w:tab w:val="left" w:pos="-288"/>
        </w:tabs>
      </w:pPr>
      <w:r>
        <w:rPr>
          <w:szCs w:val="24"/>
        </w:rPr>
        <w:lastRenderedPageBreak/>
        <w:fldChar w:fldCharType="end"/>
      </w:r>
      <w:bookmarkStart w:id="0" w:name="_Toc442434225"/>
      <w:r>
        <w:t>OPPDRAGET</w:t>
      </w:r>
      <w:bookmarkEnd w:id="0"/>
    </w:p>
    <w:p w14:paraId="4405025A" w14:textId="77777777" w:rsidR="00120172" w:rsidRDefault="00120172">
      <w:pPr>
        <w:pStyle w:val="Standard"/>
      </w:pPr>
    </w:p>
    <w:p w14:paraId="0F380633" w14:textId="14EB1184" w:rsidR="00120172" w:rsidRDefault="00732EB0">
      <w:pPr>
        <w:pStyle w:val="Standard"/>
      </w:pPr>
      <w:r>
        <w:t>For årene 20</w:t>
      </w:r>
      <w:r w:rsidR="002B62A3">
        <w:t>2</w:t>
      </w:r>
      <w:r w:rsidR="004E0B8B">
        <w:t>3</w:t>
      </w:r>
      <w:r w:rsidR="00E574DD">
        <w:t xml:space="preserve"> – 202</w:t>
      </w:r>
      <w:r w:rsidR="004E0B8B">
        <w:t>6</w:t>
      </w:r>
      <w:r w:rsidR="00E574DD">
        <w:t xml:space="preserve"> har </w:t>
      </w:r>
      <w:r w:rsidR="00C576CF">
        <w:t>Frøya</w:t>
      </w:r>
      <w:r w:rsidR="00E574DD">
        <w:t xml:space="preserve"> kommune kartlagt</w:t>
      </w:r>
      <w:r>
        <w:t xml:space="preserve"> et behov for utleieboliger for vanskeligstilte på</w:t>
      </w:r>
      <w:r w:rsidR="00E574DD">
        <w:t xml:space="preserve"> boligmarkedet. Kommunen erverver og bygger boliger selv, men er interessert i å prøve ut modellen med utleie via tilvisningsavtale. Ønskelige leiligheter</w:t>
      </w:r>
      <w:r>
        <w:t xml:space="preserve"> fordeler seg som følger:</w:t>
      </w:r>
    </w:p>
    <w:p w14:paraId="73527B49" w14:textId="77777777" w:rsidR="00120172" w:rsidRDefault="00732EB0">
      <w:pPr>
        <w:pStyle w:val="Listeavsnitt"/>
        <w:numPr>
          <w:ilvl w:val="0"/>
          <w:numId w:val="19"/>
        </w:numPr>
      </w:pPr>
      <w:r>
        <w:t>2 roms</w:t>
      </w:r>
      <w:r>
        <w:tab/>
      </w:r>
      <w:r>
        <w:tab/>
        <w:t>størrelse ca. 45</w:t>
      </w:r>
      <w:r w:rsidR="00940B2F">
        <w:t>-50</w:t>
      </w:r>
      <w:r>
        <w:t xml:space="preserve"> kvm.</w:t>
      </w:r>
    </w:p>
    <w:p w14:paraId="3E509887" w14:textId="77777777" w:rsidR="00120172" w:rsidRDefault="00940B2F">
      <w:pPr>
        <w:pStyle w:val="Listeavsnitt"/>
        <w:numPr>
          <w:ilvl w:val="0"/>
          <w:numId w:val="17"/>
        </w:numPr>
      </w:pPr>
      <w:r>
        <w:t>3 roms</w:t>
      </w:r>
      <w:r w:rsidR="00732EB0">
        <w:tab/>
      </w:r>
      <w:r w:rsidR="00732EB0">
        <w:tab/>
        <w:t>størrelse ca. 60</w:t>
      </w:r>
      <w:r>
        <w:t>-70</w:t>
      </w:r>
      <w:r w:rsidR="00732EB0">
        <w:t xml:space="preserve"> kvm.</w:t>
      </w:r>
    </w:p>
    <w:p w14:paraId="34F85A5F" w14:textId="77777777" w:rsidR="00120172" w:rsidRDefault="00732EB0">
      <w:pPr>
        <w:pStyle w:val="Listeavsnitt"/>
        <w:numPr>
          <w:ilvl w:val="0"/>
          <w:numId w:val="17"/>
        </w:numPr>
      </w:pPr>
      <w:r>
        <w:t>4 roms</w:t>
      </w:r>
      <w:r>
        <w:tab/>
      </w:r>
      <w:r>
        <w:tab/>
        <w:t>størrelse ca. 70</w:t>
      </w:r>
      <w:r w:rsidR="00940B2F">
        <w:t>-80</w:t>
      </w:r>
      <w:r>
        <w:t xml:space="preserve"> kvm</w:t>
      </w:r>
    </w:p>
    <w:p w14:paraId="36AFB47F" w14:textId="77777777" w:rsidR="00120172" w:rsidRDefault="00120172">
      <w:pPr>
        <w:pStyle w:val="Standard"/>
      </w:pPr>
    </w:p>
    <w:p w14:paraId="0DAC38A4" w14:textId="6036E6AF" w:rsidR="00120172" w:rsidRDefault="00732EB0">
      <w:pPr>
        <w:pStyle w:val="Standard"/>
      </w:pPr>
      <w:r>
        <w:t>Oppdraget kan fordeles over flere mindre prosjekt. Det kan derfor være behov for flere leverandører for å oppfylle oppdraget. Det er ikke satt restriksjoner på pros</w:t>
      </w:r>
      <w:r w:rsidR="00940B2F">
        <w:t>j</w:t>
      </w:r>
      <w:r w:rsidR="00D67F10">
        <w:t xml:space="preserve">ektenes beliggenhet i kommunen, men det største presset er </w:t>
      </w:r>
      <w:r w:rsidR="002B62A3">
        <w:t>rundt Sistranda</w:t>
      </w:r>
      <w:r w:rsidR="00D67F10">
        <w:t xml:space="preserve">. </w:t>
      </w:r>
    </w:p>
    <w:p w14:paraId="2305B084" w14:textId="77777777" w:rsidR="00120172" w:rsidRDefault="00120172">
      <w:pPr>
        <w:pStyle w:val="Standard"/>
      </w:pPr>
    </w:p>
    <w:p w14:paraId="2C516FA0" w14:textId="77777777" w:rsidR="00120172" w:rsidRDefault="00732EB0">
      <w:pPr>
        <w:pStyle w:val="Standard"/>
      </w:pPr>
      <w:r>
        <w:t>Fordelingen av antallet boenheter i forhold til størrelse og antall i hver gruppe kan endres fra kommunens side fram mot kontraktsinngåelse.</w:t>
      </w:r>
    </w:p>
    <w:p w14:paraId="4B342564" w14:textId="77777777" w:rsidR="00120172" w:rsidRDefault="00120172">
      <w:pPr>
        <w:pStyle w:val="Standard"/>
      </w:pPr>
    </w:p>
    <w:p w14:paraId="2A8B461F" w14:textId="77777777" w:rsidR="00120172" w:rsidRDefault="00732EB0">
      <w:pPr>
        <w:pStyle w:val="Overskrift2"/>
        <w:numPr>
          <w:ilvl w:val="1"/>
          <w:numId w:val="3"/>
        </w:numPr>
        <w:tabs>
          <w:tab w:val="left" w:pos="216"/>
        </w:tabs>
      </w:pPr>
      <w:bookmarkStart w:id="1" w:name="_Toc442434226"/>
      <w:r>
        <w:t>Oppdragsgiver</w:t>
      </w:r>
      <w:bookmarkEnd w:id="1"/>
    </w:p>
    <w:p w14:paraId="3C0DD01B" w14:textId="65B1C06E" w:rsidR="00120172" w:rsidRPr="00940B2F" w:rsidRDefault="002B62A3">
      <w:pPr>
        <w:pStyle w:val="Standard"/>
      </w:pPr>
      <w:r>
        <w:t>Frøya</w:t>
      </w:r>
      <w:r w:rsidR="00732EB0">
        <w:t xml:space="preserve"> kommune, heretter kalt oppdragsgiver, inviterer til åpen konkurranse i forbindelse med fremskaffelse av utleieboliger for vanskeligstilte gjennom inngåelse av tilvisningsavtaler.</w:t>
      </w:r>
    </w:p>
    <w:p w14:paraId="78F5622A" w14:textId="77777777" w:rsidR="00120172" w:rsidRDefault="00120172">
      <w:pPr>
        <w:pStyle w:val="Standard"/>
      </w:pPr>
    </w:p>
    <w:p w14:paraId="78C3D499" w14:textId="77777777" w:rsidR="00120172" w:rsidRDefault="00732EB0">
      <w:pPr>
        <w:pStyle w:val="Standard"/>
      </w:pPr>
      <w:r>
        <w:t>Oppdragsgivers kontaktperson:</w:t>
      </w:r>
    </w:p>
    <w:p w14:paraId="0BBFEECA" w14:textId="45558342" w:rsidR="00120172" w:rsidRDefault="00732EB0">
      <w:pPr>
        <w:pStyle w:val="Standard"/>
      </w:pPr>
      <w:r>
        <w:t>Navn</w:t>
      </w:r>
      <w:r>
        <w:tab/>
      </w:r>
      <w:r>
        <w:tab/>
        <w:t xml:space="preserve">: </w:t>
      </w:r>
      <w:r w:rsidR="002B62A3">
        <w:t>Thomas Elier Sandvik</w:t>
      </w:r>
      <w:r w:rsidR="00C24BE4">
        <w:t xml:space="preserve">, </w:t>
      </w:r>
      <w:r w:rsidR="002B62A3">
        <w:t>Allmenne og tekniske tjenester</w:t>
      </w:r>
    </w:p>
    <w:p w14:paraId="5D3882F0" w14:textId="4D0DD286" w:rsidR="00120172" w:rsidRPr="00C24BE4" w:rsidRDefault="00732EB0">
      <w:pPr>
        <w:pStyle w:val="Standard"/>
        <w:rPr>
          <w:lang w:val="de-DE"/>
        </w:rPr>
      </w:pPr>
      <w:r w:rsidRPr="000C5237">
        <w:rPr>
          <w:lang w:val="de-DE"/>
        </w:rPr>
        <w:t>E-postadresse</w:t>
      </w:r>
      <w:r w:rsidRPr="000C5237">
        <w:rPr>
          <w:lang w:val="de-DE"/>
        </w:rPr>
        <w:tab/>
        <w:t xml:space="preserve">: </w:t>
      </w:r>
      <w:hyperlink r:id="rId11" w:history="1">
        <w:r w:rsidR="002B62A3" w:rsidRPr="00C776B7">
          <w:rPr>
            <w:rStyle w:val="Hyperkobling"/>
            <w:lang w:val="de-DE"/>
          </w:rPr>
          <w:t>thomas.sandvik@froya.kommune.no</w:t>
        </w:r>
      </w:hyperlink>
    </w:p>
    <w:p w14:paraId="5C041CEF" w14:textId="77777777" w:rsidR="00C24BE4" w:rsidRDefault="00C24BE4">
      <w:pPr>
        <w:pStyle w:val="Standard"/>
        <w:rPr>
          <w:lang w:val="de-DE"/>
        </w:rPr>
      </w:pPr>
    </w:p>
    <w:p w14:paraId="1C9A319B" w14:textId="77777777" w:rsidR="00120172" w:rsidRPr="00D67F10" w:rsidRDefault="00732EB0">
      <w:pPr>
        <w:pStyle w:val="Standard"/>
        <w:tabs>
          <w:tab w:val="left" w:pos="0"/>
        </w:tabs>
        <w:rPr>
          <w:lang w:val="de-DE"/>
        </w:rPr>
      </w:pPr>
      <w:r w:rsidRPr="00D67F10">
        <w:rPr>
          <w:szCs w:val="20"/>
          <w:lang w:val="de-DE"/>
        </w:rPr>
        <w:t xml:space="preserve">Eventuelle </w:t>
      </w:r>
      <w:proofErr w:type="spellStart"/>
      <w:r w:rsidRPr="00D67F10">
        <w:rPr>
          <w:szCs w:val="20"/>
          <w:lang w:val="de-DE"/>
        </w:rPr>
        <w:t>spørsmål</w:t>
      </w:r>
      <w:proofErr w:type="spellEnd"/>
      <w:r w:rsidRPr="00D67F10">
        <w:rPr>
          <w:szCs w:val="20"/>
          <w:lang w:val="de-DE"/>
        </w:rPr>
        <w:t xml:space="preserve"> </w:t>
      </w:r>
      <w:proofErr w:type="spellStart"/>
      <w:r w:rsidRPr="00D67F10">
        <w:rPr>
          <w:szCs w:val="20"/>
          <w:lang w:val="de-DE"/>
        </w:rPr>
        <w:t>skal</w:t>
      </w:r>
      <w:proofErr w:type="spellEnd"/>
      <w:r w:rsidRPr="00D67F10">
        <w:rPr>
          <w:szCs w:val="20"/>
          <w:lang w:val="de-DE"/>
        </w:rPr>
        <w:t xml:space="preserve"> </w:t>
      </w:r>
      <w:proofErr w:type="spellStart"/>
      <w:r w:rsidRPr="00D67F10">
        <w:rPr>
          <w:szCs w:val="20"/>
          <w:lang w:val="de-DE"/>
        </w:rPr>
        <w:t>rettes</w:t>
      </w:r>
      <w:proofErr w:type="spellEnd"/>
      <w:r w:rsidRPr="00D67F10">
        <w:rPr>
          <w:szCs w:val="20"/>
          <w:lang w:val="de-DE"/>
        </w:rPr>
        <w:t xml:space="preserve"> </w:t>
      </w:r>
      <w:proofErr w:type="spellStart"/>
      <w:r w:rsidRPr="00D67F10">
        <w:rPr>
          <w:szCs w:val="20"/>
          <w:lang w:val="de-DE"/>
        </w:rPr>
        <w:t>til</w:t>
      </w:r>
      <w:proofErr w:type="spellEnd"/>
      <w:r w:rsidRPr="00D67F10">
        <w:rPr>
          <w:szCs w:val="20"/>
          <w:lang w:val="de-DE"/>
        </w:rPr>
        <w:t xml:space="preserve"> </w:t>
      </w:r>
      <w:proofErr w:type="spellStart"/>
      <w:r w:rsidRPr="00D67F10">
        <w:rPr>
          <w:szCs w:val="20"/>
          <w:lang w:val="de-DE"/>
        </w:rPr>
        <w:t>kontaktpersonen</w:t>
      </w:r>
      <w:proofErr w:type="spellEnd"/>
      <w:r w:rsidRPr="00D67F10">
        <w:rPr>
          <w:szCs w:val="20"/>
          <w:lang w:val="de-DE"/>
        </w:rPr>
        <w:t xml:space="preserve"> per e-post.</w:t>
      </w:r>
    </w:p>
    <w:p w14:paraId="626DC51F" w14:textId="77777777" w:rsidR="00120172" w:rsidRPr="00D67F10" w:rsidRDefault="00120172">
      <w:pPr>
        <w:pStyle w:val="Standard"/>
        <w:tabs>
          <w:tab w:val="left" w:pos="1579"/>
        </w:tabs>
        <w:rPr>
          <w:szCs w:val="20"/>
          <w:lang w:val="de-DE"/>
        </w:rPr>
      </w:pPr>
    </w:p>
    <w:p w14:paraId="5BCEAE9A" w14:textId="77777777" w:rsidR="00120172" w:rsidRDefault="00732EB0">
      <w:pPr>
        <w:pStyle w:val="Overskrift2"/>
        <w:numPr>
          <w:ilvl w:val="1"/>
          <w:numId w:val="3"/>
        </w:numPr>
        <w:tabs>
          <w:tab w:val="left" w:pos="216"/>
        </w:tabs>
      </w:pPr>
      <w:bookmarkStart w:id="2" w:name="_Toc442434227"/>
      <w:r>
        <w:t>Anskaffelsens formål og omfang</w:t>
      </w:r>
      <w:bookmarkEnd w:id="2"/>
    </w:p>
    <w:p w14:paraId="230D2583" w14:textId="77777777" w:rsidR="00120172" w:rsidRDefault="00120172">
      <w:pPr>
        <w:pStyle w:val="Standard"/>
      </w:pPr>
    </w:p>
    <w:p w14:paraId="4A64C4B7" w14:textId="7D6C0746" w:rsidR="00120172" w:rsidRDefault="002B62A3">
      <w:pPr>
        <w:pStyle w:val="Standard"/>
      </w:pPr>
      <w:r>
        <w:t>Frøya</w:t>
      </w:r>
      <w:r w:rsidR="00732EB0">
        <w:t xml:space="preserve"> kommune har til enhver tid behov for boliger til vanskeligstilte og denne anskaffelsen har til formål å fremskaffe flere kommunalt tilgjengelige utleieboliger gjennom tilvisningsavtaler med det private utleiemarkedet.</w:t>
      </w:r>
    </w:p>
    <w:p w14:paraId="16DB8E2E" w14:textId="77777777" w:rsidR="00120172" w:rsidRDefault="00120172">
      <w:pPr>
        <w:pStyle w:val="Standard"/>
      </w:pPr>
    </w:p>
    <w:p w14:paraId="7FEA2B30" w14:textId="77777777" w:rsidR="00120172" w:rsidRDefault="00732EB0">
      <w:pPr>
        <w:pStyle w:val="Standard"/>
      </w:pPr>
      <w:r>
        <w:t>Boligene skal benyttes av innbyggere i kommunen som av ulike årsaker har utfordringer med å skaffe seg gode og stabile boforhold. Boligene skal være nøkterne med god standard.</w:t>
      </w:r>
    </w:p>
    <w:p w14:paraId="5587BE48" w14:textId="321B0E0A" w:rsidR="00120172" w:rsidRDefault="002B62A3">
      <w:pPr>
        <w:pStyle w:val="Standard"/>
      </w:pPr>
      <w:r>
        <w:t>Frøya</w:t>
      </w:r>
      <w:r w:rsidR="00732EB0">
        <w:t xml:space="preserve"> kommune ønsker å inngå tilvisningsavtaler med én eller flere profesjonelle boligeiere. En tilvisningsavtale gir kommunen rett til å henvise boligsøkere til de boligene som er omfattet av avtalene, mens det enkelte leieforhold er regulert gjennom ordinær leieavtale mellom utleier og den enkelte leietaker som er tilvist fra kommunen. Husleien for det enkelte leieforhold skal være innenfor et nøkternt</w:t>
      </w:r>
      <w:r w:rsidR="000C6E25">
        <w:t xml:space="preserve"> og moderat</w:t>
      </w:r>
      <w:r w:rsidR="00732EB0">
        <w:t xml:space="preserve"> leienivå.</w:t>
      </w:r>
    </w:p>
    <w:p w14:paraId="539BB515" w14:textId="08FA29A1" w:rsidR="00120172" w:rsidRDefault="00732EB0">
      <w:pPr>
        <w:pStyle w:val="Overskrift2"/>
        <w:numPr>
          <w:ilvl w:val="1"/>
          <w:numId w:val="3"/>
        </w:numPr>
        <w:tabs>
          <w:tab w:val="left" w:pos="216"/>
        </w:tabs>
      </w:pPr>
      <w:bookmarkStart w:id="3" w:name="_Toc442434228"/>
      <w:r>
        <w:t>Fremdriftsplan for anskaffelsesprosessen</w:t>
      </w:r>
      <w:bookmarkEnd w:id="3"/>
      <w:r>
        <w:t xml:space="preserve"> 20</w:t>
      </w:r>
      <w:r w:rsidR="002B62A3">
        <w:t>23</w:t>
      </w:r>
    </w:p>
    <w:tbl>
      <w:tblPr>
        <w:tblW w:w="9176" w:type="dxa"/>
        <w:tblLayout w:type="fixed"/>
        <w:tblCellMar>
          <w:left w:w="10" w:type="dxa"/>
          <w:right w:w="10" w:type="dxa"/>
        </w:tblCellMar>
        <w:tblLook w:val="04A0" w:firstRow="1" w:lastRow="0" w:firstColumn="1" w:lastColumn="0" w:noHBand="0" w:noVBand="1"/>
      </w:tblPr>
      <w:tblGrid>
        <w:gridCol w:w="1696"/>
        <w:gridCol w:w="7480"/>
      </w:tblGrid>
      <w:tr w:rsidR="00120172" w14:paraId="0E522398" w14:textId="77777777" w:rsidTr="00D67F10">
        <w:trPr>
          <w:trHeight w:val="249"/>
        </w:trPr>
        <w:tc>
          <w:tcPr>
            <w:tcW w:w="1696" w:type="dxa"/>
            <w:tcBorders>
              <w:top w:val="single" w:sz="4" w:space="0" w:color="00000A"/>
              <w:left w:val="single" w:sz="4" w:space="0" w:color="00000A"/>
              <w:bottom w:val="single" w:sz="4" w:space="0" w:color="00000A"/>
              <w:right w:val="single" w:sz="8" w:space="0" w:color="00000A"/>
            </w:tcBorders>
            <w:shd w:val="clear" w:color="auto" w:fill="E0E0E0"/>
            <w:tcMar>
              <w:top w:w="0" w:type="dxa"/>
              <w:left w:w="70" w:type="dxa"/>
              <w:bottom w:w="0" w:type="dxa"/>
              <w:right w:w="70" w:type="dxa"/>
            </w:tcMar>
            <w:vAlign w:val="bottom"/>
          </w:tcPr>
          <w:p w14:paraId="177EDA2C" w14:textId="77777777" w:rsidR="00120172" w:rsidRDefault="00732EB0">
            <w:pPr>
              <w:pStyle w:val="Standard"/>
            </w:pPr>
            <w:r>
              <w:rPr>
                <w:b/>
              </w:rPr>
              <w:t>Planlagt uke</w:t>
            </w:r>
          </w:p>
        </w:tc>
        <w:tc>
          <w:tcPr>
            <w:tcW w:w="7480" w:type="dxa"/>
            <w:tcBorders>
              <w:top w:val="single" w:sz="4" w:space="0" w:color="00000A"/>
              <w:left w:val="single" w:sz="8" w:space="0" w:color="00000A"/>
              <w:bottom w:val="single" w:sz="4" w:space="0" w:color="00000A"/>
              <w:right w:val="single" w:sz="4" w:space="0" w:color="00000A"/>
            </w:tcBorders>
            <w:shd w:val="clear" w:color="auto" w:fill="E0E0E0"/>
            <w:tcMar>
              <w:top w:w="0" w:type="dxa"/>
              <w:left w:w="70" w:type="dxa"/>
              <w:bottom w:w="0" w:type="dxa"/>
              <w:right w:w="70" w:type="dxa"/>
            </w:tcMar>
            <w:vAlign w:val="bottom"/>
          </w:tcPr>
          <w:p w14:paraId="788480E7" w14:textId="77777777" w:rsidR="00120172" w:rsidRDefault="00732EB0">
            <w:pPr>
              <w:pStyle w:val="Standard"/>
            </w:pPr>
            <w:r>
              <w:rPr>
                <w:b/>
              </w:rPr>
              <w:t>Aktivitet</w:t>
            </w:r>
          </w:p>
        </w:tc>
      </w:tr>
      <w:tr w:rsidR="00120172" w14:paraId="7D9FE901" w14:textId="77777777" w:rsidTr="00D67F10">
        <w:trPr>
          <w:trHeight w:val="249"/>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002C337F" w14:textId="10DCED23" w:rsidR="00120172" w:rsidRDefault="004C47C4">
            <w:pPr>
              <w:pStyle w:val="Standard"/>
            </w:pPr>
            <w:r>
              <w:t xml:space="preserve">Uke </w:t>
            </w:r>
            <w:r w:rsidR="002B62A3">
              <w:t>21</w:t>
            </w: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3AC0483C" w14:textId="77777777" w:rsidR="00120172" w:rsidRDefault="00732EB0">
            <w:pPr>
              <w:pStyle w:val="Standard"/>
            </w:pPr>
            <w:r>
              <w:t>Kunngjøring av konkurranse</w:t>
            </w:r>
          </w:p>
        </w:tc>
      </w:tr>
      <w:tr w:rsidR="00120172" w14:paraId="72265FA1" w14:textId="77777777" w:rsidTr="00D67F10">
        <w:trPr>
          <w:trHeight w:val="249"/>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7ABAD753" w14:textId="6DD03FD1" w:rsidR="00120172" w:rsidRDefault="004C47C4">
            <w:pPr>
              <w:pStyle w:val="Standard"/>
            </w:pPr>
            <w:r>
              <w:t xml:space="preserve">Uke </w:t>
            </w:r>
            <w:r w:rsidR="002B62A3">
              <w:t>26</w:t>
            </w: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6CE3970B" w14:textId="77777777" w:rsidR="00120172" w:rsidRDefault="00732EB0">
            <w:pPr>
              <w:pStyle w:val="Standard"/>
            </w:pPr>
            <w:r>
              <w:t>Tilbudsfrist</w:t>
            </w:r>
          </w:p>
        </w:tc>
      </w:tr>
      <w:tr w:rsidR="00120172" w14:paraId="2FA38885" w14:textId="77777777" w:rsidTr="00D67F10">
        <w:trPr>
          <w:trHeight w:val="249"/>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452F8D36" w14:textId="190529D4" w:rsidR="00120172" w:rsidRDefault="00D67F10">
            <w:pPr>
              <w:pStyle w:val="Standard"/>
            </w:pPr>
            <w:r>
              <w:t xml:space="preserve">Uke </w:t>
            </w:r>
            <w:r w:rsidR="002B62A3">
              <w:t>27</w:t>
            </w: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4C4935D8" w14:textId="77777777" w:rsidR="00120172" w:rsidRDefault="00732EB0">
            <w:pPr>
              <w:pStyle w:val="Standard"/>
            </w:pPr>
            <w:r>
              <w:t>Evaluering av kvalifikasjoner/tilbud</w:t>
            </w:r>
          </w:p>
        </w:tc>
      </w:tr>
      <w:tr w:rsidR="00120172" w14:paraId="48C4EB4E" w14:textId="77777777" w:rsidTr="00D67F10">
        <w:trPr>
          <w:trHeight w:val="249"/>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2FB9231F" w14:textId="4FD5D4EC" w:rsidR="00120172" w:rsidRDefault="004C47C4">
            <w:pPr>
              <w:pStyle w:val="Standard"/>
            </w:pPr>
            <w:r>
              <w:t xml:space="preserve">Uke </w:t>
            </w:r>
            <w:r w:rsidR="002B62A3">
              <w:t>32 - 34</w:t>
            </w: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6C8516B4" w14:textId="77777777" w:rsidR="00120172" w:rsidRDefault="001C2A3C">
            <w:pPr>
              <w:pStyle w:val="Standard"/>
            </w:pPr>
            <w:r>
              <w:t>Forhandlinger</w:t>
            </w:r>
          </w:p>
        </w:tc>
      </w:tr>
      <w:tr w:rsidR="00120172" w14:paraId="271FDA35" w14:textId="77777777" w:rsidTr="00D67F10">
        <w:trPr>
          <w:trHeight w:val="249"/>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4583E92D" w14:textId="77777777" w:rsidR="00120172" w:rsidRDefault="00120172">
            <w:pPr>
              <w:pStyle w:val="Standard"/>
            </w:pP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70953504" w14:textId="77777777" w:rsidR="00120172" w:rsidRDefault="00120172">
            <w:pPr>
              <w:pStyle w:val="Standard"/>
            </w:pPr>
          </w:p>
        </w:tc>
      </w:tr>
      <w:tr w:rsidR="00120172" w14:paraId="6F94498E" w14:textId="77777777" w:rsidTr="00D67F10">
        <w:trPr>
          <w:trHeight w:val="264"/>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0C02F18F" w14:textId="5D7FF954" w:rsidR="00120172" w:rsidRDefault="004C47C4">
            <w:pPr>
              <w:pStyle w:val="Standard"/>
            </w:pPr>
            <w:r>
              <w:t xml:space="preserve">Uke </w:t>
            </w:r>
            <w:r w:rsidR="002B62A3">
              <w:t>36</w:t>
            </w: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67F9A74E" w14:textId="77777777" w:rsidR="00120172" w:rsidRDefault="00732EB0">
            <w:pPr>
              <w:pStyle w:val="Standard"/>
            </w:pPr>
            <w:r>
              <w:t>Kontraktsinngåelse</w:t>
            </w:r>
          </w:p>
        </w:tc>
      </w:tr>
      <w:tr w:rsidR="00120172" w14:paraId="3ECF6460" w14:textId="77777777" w:rsidTr="00D67F10">
        <w:trPr>
          <w:trHeight w:val="264"/>
        </w:trPr>
        <w:tc>
          <w:tcPr>
            <w:tcW w:w="1696" w:type="dxa"/>
            <w:tcBorders>
              <w:top w:val="single" w:sz="4" w:space="0" w:color="00000A"/>
              <w:left w:val="single" w:sz="4" w:space="0" w:color="00000A"/>
              <w:bottom w:val="single" w:sz="4" w:space="0" w:color="00000A"/>
              <w:right w:val="single" w:sz="8" w:space="0" w:color="00000A"/>
            </w:tcBorders>
            <w:tcMar>
              <w:top w:w="0" w:type="dxa"/>
              <w:left w:w="70" w:type="dxa"/>
              <w:bottom w:w="0" w:type="dxa"/>
              <w:right w:w="70" w:type="dxa"/>
            </w:tcMar>
            <w:vAlign w:val="bottom"/>
          </w:tcPr>
          <w:p w14:paraId="26D6ADD8" w14:textId="77777777" w:rsidR="00120172" w:rsidRDefault="00120172">
            <w:pPr>
              <w:pStyle w:val="Standard"/>
            </w:pPr>
          </w:p>
        </w:tc>
        <w:tc>
          <w:tcPr>
            <w:tcW w:w="7480" w:type="dxa"/>
            <w:tcBorders>
              <w:top w:val="single" w:sz="4" w:space="0" w:color="00000A"/>
              <w:left w:val="single" w:sz="8" w:space="0" w:color="00000A"/>
              <w:bottom w:val="single" w:sz="4" w:space="0" w:color="00000A"/>
              <w:right w:val="single" w:sz="4" w:space="0" w:color="00000A"/>
            </w:tcBorders>
            <w:tcMar>
              <w:top w:w="0" w:type="dxa"/>
              <w:left w:w="70" w:type="dxa"/>
              <w:bottom w:w="0" w:type="dxa"/>
              <w:right w:w="70" w:type="dxa"/>
            </w:tcMar>
            <w:vAlign w:val="bottom"/>
          </w:tcPr>
          <w:p w14:paraId="14D8089E" w14:textId="77777777" w:rsidR="00120172" w:rsidRDefault="00120172">
            <w:pPr>
              <w:pStyle w:val="Standard"/>
            </w:pPr>
          </w:p>
        </w:tc>
      </w:tr>
    </w:tbl>
    <w:p w14:paraId="354A7B96" w14:textId="77777777" w:rsidR="00120172" w:rsidRDefault="00120172">
      <w:pPr>
        <w:pStyle w:val="Standard"/>
        <w:ind w:left="576"/>
      </w:pPr>
    </w:p>
    <w:p w14:paraId="0573F2A0" w14:textId="77777777" w:rsidR="00120172" w:rsidRDefault="00732EB0">
      <w:pPr>
        <w:pStyle w:val="Standard"/>
      </w:pPr>
      <w:r>
        <w:t>Ovennevnte fremdriftsplan er tentativ.</w:t>
      </w:r>
    </w:p>
    <w:p w14:paraId="4C2FA264" w14:textId="77777777" w:rsidR="00120172" w:rsidRDefault="00120172">
      <w:pPr>
        <w:pStyle w:val="Standard"/>
      </w:pPr>
    </w:p>
    <w:p w14:paraId="5A75ADFE" w14:textId="77777777" w:rsidR="00120172" w:rsidRDefault="00732EB0">
      <w:pPr>
        <w:pStyle w:val="Overskrift2"/>
        <w:numPr>
          <w:ilvl w:val="1"/>
          <w:numId w:val="3"/>
        </w:numPr>
      </w:pPr>
      <w:bookmarkStart w:id="4" w:name="_Toc201116199"/>
      <w:bookmarkStart w:id="5" w:name="_Toc442434229"/>
      <w:bookmarkStart w:id="6" w:name="_Toc199136545"/>
      <w:r>
        <w:t>Kontrakt</w:t>
      </w:r>
      <w:bookmarkEnd w:id="4"/>
      <w:bookmarkEnd w:id="5"/>
    </w:p>
    <w:p w14:paraId="6FA0D70A" w14:textId="77777777" w:rsidR="00120172" w:rsidRDefault="00732EB0">
      <w:pPr>
        <w:pStyle w:val="Overskrift3"/>
        <w:numPr>
          <w:ilvl w:val="2"/>
          <w:numId w:val="3"/>
        </w:numPr>
        <w:ind w:left="737" w:hanging="737"/>
      </w:pPr>
      <w:bookmarkStart w:id="7" w:name="_Toc442434230"/>
      <w:bookmarkStart w:id="8" w:name="_Toc201116200"/>
      <w:bookmarkEnd w:id="6"/>
      <w:r>
        <w:t>Kontraktsperiode</w:t>
      </w:r>
      <w:bookmarkEnd w:id="7"/>
      <w:bookmarkEnd w:id="8"/>
    </w:p>
    <w:p w14:paraId="08669ECF" w14:textId="56FDF0DC" w:rsidR="00120172" w:rsidRDefault="00732EB0">
      <w:pPr>
        <w:pStyle w:val="Standard"/>
      </w:pPr>
      <w:r>
        <w:t xml:space="preserve">En tilvisningsavtale inngås med </w:t>
      </w:r>
      <w:r w:rsidR="00CA3DA8">
        <w:t>Frøya</w:t>
      </w:r>
      <w:r>
        <w:t xml:space="preserve"> kommune. Kontrakten vil ha en løpetid på 20 år.</w:t>
      </w:r>
    </w:p>
    <w:p w14:paraId="63E72E8F" w14:textId="77777777" w:rsidR="00120172" w:rsidRDefault="00732EB0">
      <w:pPr>
        <w:pStyle w:val="Overskrift3"/>
        <w:numPr>
          <w:ilvl w:val="2"/>
          <w:numId w:val="3"/>
        </w:numPr>
        <w:ind w:left="737" w:hanging="737"/>
      </w:pPr>
      <w:r>
        <w:t>Kontrakts bestemmelser</w:t>
      </w:r>
    </w:p>
    <w:p w14:paraId="36F2091A" w14:textId="77777777" w:rsidR="00120172" w:rsidRDefault="00732EB0">
      <w:pPr>
        <w:pStyle w:val="Standard"/>
      </w:pPr>
      <w:r>
        <w:t xml:space="preserve">Avtaleforholdet vil bli regulert av vedlagte kontraktsmal </w:t>
      </w:r>
      <w:r w:rsidR="001C2A3C">
        <w:t>tilvisningsavtaler</w:t>
      </w:r>
      <w:r>
        <w:t>.</w:t>
      </w:r>
    </w:p>
    <w:p w14:paraId="7E540C86" w14:textId="77777777" w:rsidR="00120172" w:rsidRDefault="00732EB0">
      <w:pPr>
        <w:pStyle w:val="Overskrift3"/>
        <w:numPr>
          <w:ilvl w:val="2"/>
          <w:numId w:val="3"/>
        </w:numPr>
      </w:pPr>
      <w:bookmarkStart w:id="9" w:name="_Toc442434236"/>
      <w:r>
        <w:t xml:space="preserve">Brudd på skatte- og </w:t>
      </w:r>
      <w:bookmarkEnd w:id="9"/>
      <w:r>
        <w:t>avgifts forpliktelser</w:t>
      </w:r>
    </w:p>
    <w:p w14:paraId="797167F6" w14:textId="77777777" w:rsidR="00120172" w:rsidRDefault="00732EB0">
      <w:pPr>
        <w:pStyle w:val="Standard"/>
      </w:pPr>
      <w:r>
        <w:rPr>
          <w:iCs/>
        </w:rPr>
        <w:t>Leverandøren og eventuelle underleverandører skal til enhver tid oppfylle sine forpliktelser til å betale skatter og/eller avgifter.</w:t>
      </w:r>
    </w:p>
    <w:p w14:paraId="0EAE4F2B" w14:textId="77777777" w:rsidR="00120172" w:rsidRDefault="00120172">
      <w:pPr>
        <w:pStyle w:val="Standard"/>
        <w:rPr>
          <w:iCs/>
        </w:rPr>
      </w:pPr>
    </w:p>
    <w:p w14:paraId="501FCF68" w14:textId="77777777" w:rsidR="00120172" w:rsidRDefault="00732EB0">
      <w:pPr>
        <w:pStyle w:val="Standard"/>
      </w:pPr>
      <w:r>
        <w:rPr>
          <w:iCs/>
        </w:rPr>
        <w:t>Oppdragsgiver kan til enhver tid foreta kontroll av leverandøren og eventuelle underleverandørers oppfyllelse av forpliktelser til å betale skatter og/eller avgifter.</w:t>
      </w:r>
    </w:p>
    <w:p w14:paraId="6F6497C1" w14:textId="77777777" w:rsidR="00120172" w:rsidRDefault="00120172">
      <w:pPr>
        <w:pStyle w:val="Standard"/>
        <w:rPr>
          <w:iCs/>
        </w:rPr>
      </w:pPr>
    </w:p>
    <w:p w14:paraId="011EB231" w14:textId="77777777" w:rsidR="00120172" w:rsidRDefault="00732EB0">
      <w:pPr>
        <w:pStyle w:val="Standard"/>
      </w:pPr>
      <w:r>
        <w:rPr>
          <w:iCs/>
        </w:rPr>
        <w:t>Dersom leverandøren i ikke uvesentlig grad misligholder sine forpliktelser til å betale skatter og/eller avgifter, kan oppdragsgiver, etter at leverandøren er gitt en frist til å rette, heve kontrakten. Dersom leverandøren vesentlig misligholder sine forpliktelser til å betale skatter og/eller avgifter kan oppdragsgiver heve kontrakten uten at leverandøren er gitt en frist til å rette. Retten til å heve gjelder ikke dersom kravet formelt er bestridt overfor kompetent myndighet og leverandøren overfor oppdragsgiver kan sannsynliggjøre at kravet ikke er berettiget.</w:t>
      </w:r>
    </w:p>
    <w:p w14:paraId="11A6A4A5" w14:textId="77777777" w:rsidR="00120172" w:rsidRDefault="00120172">
      <w:pPr>
        <w:pStyle w:val="Standard"/>
      </w:pPr>
    </w:p>
    <w:p w14:paraId="4107132D" w14:textId="77777777" w:rsidR="00120172" w:rsidRDefault="00732EB0">
      <w:pPr>
        <w:pStyle w:val="Standard"/>
      </w:pPr>
      <w:r>
        <w:rPr>
          <w:iCs/>
        </w:rPr>
        <w:t>Dersom leverandørens underleverandører i ikke uvesentlig grad misligholder sine</w:t>
      </w:r>
    </w:p>
    <w:p w14:paraId="47778465" w14:textId="77777777" w:rsidR="00120172" w:rsidRDefault="00732EB0">
      <w:pPr>
        <w:pStyle w:val="Standard"/>
      </w:pPr>
      <w:r>
        <w:rPr>
          <w:iCs/>
        </w:rPr>
        <w:t>forpliktelser til å betale skatter og/eller avgifter, kan oppdragsgiver, etter at underleverandøren er gitt en frist til å rette, kreve at leverandøren snarest mulig skifter ut sin underleverandør, uten kostnad for oppdragsgiver. Retten til å kreve utskifting gjelder ikke dersom kravet er formelt bestridt overfor kompetent myndighet, og leverandøren overfor oppdragsgiver kan sannsynliggjøre at kravet mot underleverandøren ikke er berettiget. Dersom leverandøren ikke skifter ut underleverandørsom den er forpliktet til å skifte ut, kan oppdragsgiver heve avtalen.</w:t>
      </w:r>
    </w:p>
    <w:p w14:paraId="4F1EED28" w14:textId="77777777" w:rsidR="00120172" w:rsidRDefault="00120172">
      <w:pPr>
        <w:pStyle w:val="Standard"/>
        <w:rPr>
          <w:shd w:val="clear" w:color="auto" w:fill="FFFF00"/>
        </w:rPr>
      </w:pPr>
    </w:p>
    <w:p w14:paraId="707D08E5" w14:textId="77777777" w:rsidR="00120172" w:rsidRDefault="00732EB0">
      <w:pPr>
        <w:pStyle w:val="Overskrift3"/>
        <w:numPr>
          <w:ilvl w:val="2"/>
          <w:numId w:val="3"/>
        </w:numPr>
      </w:pPr>
      <w:bookmarkStart w:id="10" w:name="_Toc442434237"/>
      <w:r>
        <w:t>Brudd på konkurranselovgivningen</w:t>
      </w:r>
      <w:bookmarkEnd w:id="10"/>
    </w:p>
    <w:p w14:paraId="07CB3294" w14:textId="77777777" w:rsidR="00120172" w:rsidRDefault="00732EB0">
      <w:pPr>
        <w:pStyle w:val="Standard"/>
      </w:pPr>
      <w:r>
        <w:t>Dersom det er klar sannsynlighetsovervekt for at leverandøren har brutt konkurranselovens §§ 10 eller 11 eller tilsvarende bestemmelser, kan oppdragsgiver heve kontrakten dersom dette etter en konkret vurdering anses for å være forholdsmessig.</w:t>
      </w:r>
    </w:p>
    <w:p w14:paraId="19601522" w14:textId="77777777" w:rsidR="00120172" w:rsidRDefault="00120172">
      <w:pPr>
        <w:pStyle w:val="Standard"/>
        <w:ind w:left="354"/>
      </w:pPr>
    </w:p>
    <w:p w14:paraId="16178A21" w14:textId="77777777" w:rsidR="00120172" w:rsidRDefault="00732EB0">
      <w:pPr>
        <w:pStyle w:val="Standard"/>
      </w:pPr>
      <w:r>
        <w:t xml:space="preserve">Dersom det er klar sannsynlighetsovervekt for at leverandørens underleverandør har brutt konkurranselovens §§ 10 eller 11 eller tilsvarende bestemmelser kan oppdragsgiver kreve at leverandøren snarest mulig skifter ut sin underleverandør, uten kostnad for oppdragsgiver. Retten til å kreve utskifting gjelder ikke dersom kravet er formelt bestridt overfor kompetent myndighet, og leverandøren overfor oppdragsgiver kan sannsynliggjøre at kravet mot </w:t>
      </w:r>
      <w:r>
        <w:lastRenderedPageBreak/>
        <w:t>underleverandøren ikke er berettiget. Dersom leverandøren ikke skifter ut underleverandør som den er forpliktet til å skifte ut, kan oppdragsgiver heve avtalen.</w:t>
      </w:r>
    </w:p>
    <w:p w14:paraId="201AC020" w14:textId="229B172B" w:rsidR="00120172" w:rsidRDefault="00732EB0">
      <w:pPr>
        <w:pStyle w:val="NormalWeb"/>
      </w:pPr>
      <w:r>
        <w:t xml:space="preserve">Før heving etter første ledd og før krav om utskiftning av underleverandør i annet ledd skal oppdragiver vurdere den tid som er gått siden bruddet på konkurranselovens §§ 10 eller 11 ble begått, hvilke </w:t>
      </w:r>
      <w:r w:rsidR="007076F6">
        <w:t>«</w:t>
      </w:r>
      <w:proofErr w:type="spellStart"/>
      <w:r>
        <w:t>self</w:t>
      </w:r>
      <w:proofErr w:type="spellEnd"/>
      <w:r w:rsidR="00296C1A">
        <w:t xml:space="preserve"> </w:t>
      </w:r>
      <w:proofErr w:type="spellStart"/>
      <w:r>
        <w:t>cleaning</w:t>
      </w:r>
      <w:proofErr w:type="spellEnd"/>
      <w:r w:rsidR="007076F6">
        <w:t xml:space="preserve">» </w:t>
      </w:r>
      <w:r>
        <w:t>tiltak som er iverksatt fra leverandøren eller underleverandørens side og eventuelt andre momenter som kan ha betydning for vurderingen av om hevingen eller utskiftningen er forholdsmessig. Dersom bruddet på konkurranselovgivningen direkte har rammet eller berørt kommunen, vil heving alltid anses å være forholdsmessig.</w:t>
      </w:r>
    </w:p>
    <w:p w14:paraId="3D493E94" w14:textId="77777777" w:rsidR="00120172" w:rsidRDefault="00732EB0">
      <w:pPr>
        <w:pStyle w:val="Overskrift2"/>
        <w:numPr>
          <w:ilvl w:val="1"/>
          <w:numId w:val="3"/>
        </w:numPr>
        <w:tabs>
          <w:tab w:val="left" w:pos="432"/>
        </w:tabs>
        <w:ind w:left="216" w:hanging="216"/>
      </w:pPr>
      <w:bookmarkStart w:id="11" w:name="_Toc442434238"/>
      <w:r>
        <w:t>Kunngjøring</w:t>
      </w:r>
      <w:bookmarkEnd w:id="11"/>
    </w:p>
    <w:p w14:paraId="3DF27B06" w14:textId="1D1A0F0B" w:rsidR="00120172" w:rsidRDefault="00732EB0">
      <w:pPr>
        <w:pStyle w:val="Standard"/>
      </w:pPr>
      <w:r>
        <w:t>Konkurra</w:t>
      </w:r>
      <w:r w:rsidR="001C2A3C">
        <w:t>ns</w:t>
      </w:r>
      <w:r w:rsidR="00D67F10">
        <w:t xml:space="preserve">en er annonsert </w:t>
      </w:r>
      <w:r w:rsidR="007076F6">
        <w:t>På Frøya.no, Hitra-Frøya og på</w:t>
      </w:r>
      <w:r w:rsidR="00D67F10">
        <w:t xml:space="preserve"> </w:t>
      </w:r>
      <w:r w:rsidR="007076F6">
        <w:t>Frøya</w:t>
      </w:r>
      <w:r>
        <w:t xml:space="preserve"> kommunes </w:t>
      </w:r>
      <w:r w:rsidR="001C2A3C">
        <w:t xml:space="preserve">hjemmeside </w:t>
      </w:r>
      <w:r w:rsidR="007076F6">
        <w:t>froya</w:t>
      </w:r>
      <w:r w:rsidR="001C2A3C">
        <w:t xml:space="preserve">.kommune.no og kommunes </w:t>
      </w:r>
      <w:proofErr w:type="spellStart"/>
      <w:r w:rsidR="001C2A3C">
        <w:t>facebookside</w:t>
      </w:r>
      <w:proofErr w:type="spellEnd"/>
      <w:r w:rsidR="001C2A3C">
        <w:t xml:space="preserve">. </w:t>
      </w:r>
    </w:p>
    <w:p w14:paraId="1A66650E" w14:textId="77777777" w:rsidR="00120172" w:rsidRDefault="00732EB0">
      <w:pPr>
        <w:pStyle w:val="Overskrift2"/>
        <w:numPr>
          <w:ilvl w:val="1"/>
          <w:numId w:val="3"/>
        </w:numPr>
        <w:tabs>
          <w:tab w:val="left" w:pos="432"/>
        </w:tabs>
        <w:ind w:left="216" w:hanging="216"/>
      </w:pPr>
      <w:bookmarkStart w:id="12" w:name="_Toc442434239"/>
      <w:r>
        <w:t>Tilleggsopplysninger</w:t>
      </w:r>
      <w:bookmarkEnd w:id="12"/>
    </w:p>
    <w:p w14:paraId="653F95B0" w14:textId="77777777" w:rsidR="00120172" w:rsidRDefault="00732EB0">
      <w:pPr>
        <w:pStyle w:val="Standard"/>
      </w:pPr>
      <w:r>
        <w:t>Dersom leverandøren finner at konkurransegrunnlaget ikke gir tilstrekkelig veiledning, kan han skriftlig be om tilleggsopplysninger hos oppdragsgivers kontaktperson.</w:t>
      </w:r>
    </w:p>
    <w:p w14:paraId="535E6557" w14:textId="77777777" w:rsidR="00120172" w:rsidRDefault="00120172">
      <w:pPr>
        <w:pStyle w:val="Standard"/>
      </w:pPr>
    </w:p>
    <w:p w14:paraId="6762A3BA" w14:textId="77777777" w:rsidR="00120172" w:rsidRDefault="00732EB0">
      <w:pPr>
        <w:pStyle w:val="Standard"/>
      </w:pPr>
      <w:r>
        <w:rPr>
          <w:szCs w:val="20"/>
        </w:rPr>
        <w:t xml:space="preserve">Dersom det oppdages feil i </w:t>
      </w:r>
      <w:r>
        <w:t>konkurransegrunnlaget</w:t>
      </w:r>
      <w:r>
        <w:rPr>
          <w:szCs w:val="20"/>
        </w:rPr>
        <w:t>, bes det om at dette formidles skriftlig til oppdragsgivers kontaktperson.</w:t>
      </w:r>
    </w:p>
    <w:p w14:paraId="4E3010B4" w14:textId="77777777" w:rsidR="00120172" w:rsidRDefault="00120172">
      <w:pPr>
        <w:pStyle w:val="Standard"/>
        <w:rPr>
          <w:szCs w:val="20"/>
        </w:rPr>
      </w:pPr>
    </w:p>
    <w:p w14:paraId="24FDA614" w14:textId="77777777" w:rsidR="00120172" w:rsidRDefault="00732EB0">
      <w:pPr>
        <w:pStyle w:val="Standard"/>
      </w:pPr>
      <w:r>
        <w:rPr>
          <w:szCs w:val="20"/>
        </w:rPr>
        <w:t>Skriftlig henvendelse om tilleggsopplysninger merkes ”Tilleggsopplysning i konkurranse –</w:t>
      </w:r>
    </w:p>
    <w:p w14:paraId="31D91B31" w14:textId="77777777" w:rsidR="00120172" w:rsidRDefault="00732EB0">
      <w:pPr>
        <w:pStyle w:val="Standard"/>
      </w:pPr>
      <w:r>
        <w:rPr>
          <w:szCs w:val="20"/>
        </w:rPr>
        <w:t>Konkurranse for inngåelse av tilvisningsavtaler for u</w:t>
      </w:r>
      <w:r w:rsidR="001C2A3C">
        <w:rPr>
          <w:szCs w:val="20"/>
        </w:rPr>
        <w:t>tleieboliger</w:t>
      </w:r>
      <w:r>
        <w:rPr>
          <w:szCs w:val="20"/>
        </w:rPr>
        <w:t>”, og sendes til oppdragsgivers kontaktperson</w:t>
      </w:r>
      <w:r>
        <w:t>.</w:t>
      </w:r>
    </w:p>
    <w:p w14:paraId="70F4FD0A" w14:textId="77777777" w:rsidR="00120172" w:rsidRDefault="00120172">
      <w:pPr>
        <w:pStyle w:val="Standard"/>
      </w:pPr>
    </w:p>
    <w:p w14:paraId="019C6B76" w14:textId="77777777" w:rsidR="00120172" w:rsidRDefault="00732EB0">
      <w:pPr>
        <w:pStyle w:val="Standard"/>
      </w:pPr>
      <w:r>
        <w:t>Det oppfordres om at spørsmål til konkurransegrunnlaget rettes til oppdragsgivers kontaktperson senest 6 dager før utløpet av tilbudsfristen.</w:t>
      </w:r>
    </w:p>
    <w:p w14:paraId="68D34709" w14:textId="77777777" w:rsidR="00120172" w:rsidRDefault="00732EB0">
      <w:pPr>
        <w:pStyle w:val="Overskrift2"/>
        <w:numPr>
          <w:ilvl w:val="1"/>
          <w:numId w:val="3"/>
        </w:numPr>
      </w:pPr>
      <w:bookmarkStart w:id="13" w:name="_Toc442434240"/>
      <w:r>
        <w:t>Rettelser, suppleringer eller endring av konkurransegrunnlaget</w:t>
      </w:r>
      <w:bookmarkEnd w:id="13"/>
    </w:p>
    <w:p w14:paraId="0C5914D1" w14:textId="77777777" w:rsidR="00120172" w:rsidRDefault="00732EB0">
      <w:pPr>
        <w:pStyle w:val="Standard"/>
      </w:pPr>
      <w:r>
        <w:rPr>
          <w:szCs w:val="20"/>
        </w:rPr>
        <w:t xml:space="preserve">Innen innleveringsfristens utløp har oppdragsgiver rett til å foreta rettelser, suppleringer eller endringer av </w:t>
      </w:r>
      <w:r>
        <w:t xml:space="preserve">konkurransegrunnlaget </w:t>
      </w:r>
      <w:r>
        <w:rPr>
          <w:szCs w:val="20"/>
        </w:rPr>
        <w:t>som ikke er av vesentlig karakter.</w:t>
      </w:r>
      <w:bookmarkStart w:id="14" w:name="_Toc442434241"/>
    </w:p>
    <w:p w14:paraId="50804E1F" w14:textId="77777777" w:rsidR="00120172" w:rsidRDefault="00120172">
      <w:pPr>
        <w:pStyle w:val="Standard"/>
        <w:rPr>
          <w:szCs w:val="20"/>
        </w:rPr>
      </w:pPr>
    </w:p>
    <w:p w14:paraId="6541DDF1" w14:textId="77777777" w:rsidR="00120172" w:rsidRDefault="00A56122" w:rsidP="00A56122">
      <w:pPr>
        <w:pStyle w:val="Overskrift1"/>
        <w:numPr>
          <w:ilvl w:val="0"/>
          <w:numId w:val="0"/>
        </w:numPr>
      </w:pPr>
      <w:r w:rsidRPr="00A56122">
        <w:rPr>
          <w:rFonts w:cs="Times New Roman"/>
          <w:bCs w:val="0"/>
          <w:caps w:val="0"/>
          <w:sz w:val="24"/>
          <w:szCs w:val="20"/>
        </w:rPr>
        <w:t>2</w:t>
      </w:r>
      <w:r>
        <w:rPr>
          <w:rFonts w:cs="Times New Roman"/>
          <w:b w:val="0"/>
          <w:bCs w:val="0"/>
          <w:caps w:val="0"/>
          <w:sz w:val="24"/>
          <w:szCs w:val="20"/>
        </w:rPr>
        <w:t xml:space="preserve">   </w:t>
      </w:r>
      <w:r w:rsidR="00732EB0">
        <w:t>REGLER FOR GJENNOMFØRING AV KONKURRANSEN</w:t>
      </w:r>
      <w:bookmarkEnd w:id="14"/>
    </w:p>
    <w:p w14:paraId="2AEC48DC" w14:textId="77777777" w:rsidR="00120172" w:rsidRDefault="00732EB0">
      <w:pPr>
        <w:pStyle w:val="Overskrift2"/>
        <w:numPr>
          <w:ilvl w:val="1"/>
          <w:numId w:val="3"/>
        </w:numPr>
        <w:tabs>
          <w:tab w:val="left" w:pos="432"/>
        </w:tabs>
        <w:ind w:left="216" w:hanging="216"/>
      </w:pPr>
      <w:bookmarkStart w:id="15" w:name="_Toc442434242"/>
      <w:r>
        <w:t>Prosedyre</w:t>
      </w:r>
      <w:bookmarkEnd w:id="15"/>
    </w:p>
    <w:p w14:paraId="45B3DF63" w14:textId="77777777" w:rsidR="00120172" w:rsidRDefault="00732EB0">
      <w:pPr>
        <w:pStyle w:val="Standard"/>
      </w:pPr>
      <w:r>
        <w:t>Lov og forskrift om offentlige anskaffelser kommer i utgangspunktet ikke til anvendelse på inngåelse av tilvisningsavtaler for utleieboliger. Det er likevel besluttet å gjennomføre en konkurranse som hensyn tar prinsippene i § 5 i lov om offentlige anskaffelser, herunder prinsippene om konkurranse og likebehandling. I tillegg gjelder de bestemmelser som framgår av dette konkurransegrunnlaget.</w:t>
      </w:r>
    </w:p>
    <w:p w14:paraId="208DAD09" w14:textId="77777777" w:rsidR="00120172" w:rsidRDefault="00120172">
      <w:pPr>
        <w:pStyle w:val="Standard"/>
      </w:pPr>
    </w:p>
    <w:p w14:paraId="76340476" w14:textId="77777777" w:rsidR="00120172" w:rsidRDefault="00732EB0">
      <w:pPr>
        <w:pStyle w:val="Standard"/>
      </w:pPr>
      <w:r>
        <w:t>Denne anskaffelsen følger prosedyren for konkurranse med forhandling i ett trinn.</w:t>
      </w:r>
    </w:p>
    <w:p w14:paraId="449C2D09" w14:textId="77777777" w:rsidR="00120172" w:rsidRDefault="00732EB0">
      <w:pPr>
        <w:pStyle w:val="Overskrift2"/>
        <w:numPr>
          <w:ilvl w:val="1"/>
          <w:numId w:val="3"/>
        </w:numPr>
      </w:pPr>
      <w:bookmarkStart w:id="16" w:name="_Toc201116208"/>
      <w:bookmarkStart w:id="17" w:name="_Toc442434243"/>
      <w:r>
        <w:t>Tilbudsfrist</w:t>
      </w:r>
      <w:bookmarkEnd w:id="16"/>
      <w:bookmarkEnd w:id="17"/>
    </w:p>
    <w:p w14:paraId="58B5734A" w14:textId="58C0731B" w:rsidR="00880ACF" w:rsidRDefault="00732EB0">
      <w:pPr>
        <w:pStyle w:val="Standard"/>
      </w:pPr>
      <w:r>
        <w:t>Siste frist for innleverin</w:t>
      </w:r>
      <w:r w:rsidR="0047455D">
        <w:t xml:space="preserve">g av tilbud er fredag </w:t>
      </w:r>
      <w:r w:rsidR="007076F6" w:rsidRPr="00880ACF">
        <w:t>30</w:t>
      </w:r>
      <w:r w:rsidR="0047455D" w:rsidRPr="00880ACF">
        <w:t>/</w:t>
      </w:r>
      <w:r w:rsidR="007076F6" w:rsidRPr="00880ACF">
        <w:t>06</w:t>
      </w:r>
      <w:r w:rsidR="0047455D" w:rsidRPr="00880ACF">
        <w:t xml:space="preserve"> </w:t>
      </w:r>
      <w:r w:rsidR="001C2A3C" w:rsidRPr="00880ACF">
        <w:t>-</w:t>
      </w:r>
      <w:r w:rsidR="0047455D" w:rsidRPr="00880ACF">
        <w:t xml:space="preserve"> </w:t>
      </w:r>
      <w:r w:rsidR="001C2A3C" w:rsidRPr="00880ACF">
        <w:t>20</w:t>
      </w:r>
      <w:r w:rsidR="007076F6" w:rsidRPr="00880ACF">
        <w:t>23</w:t>
      </w:r>
      <w:r w:rsidRPr="00880ACF">
        <w:t>, kl.12.00</w:t>
      </w:r>
      <w:r>
        <w:t>, i resepsjonen</w:t>
      </w:r>
      <w:r w:rsidR="001C2A3C">
        <w:t>/servicetorg</w:t>
      </w:r>
      <w:r>
        <w:t xml:space="preserve"> hos oppdragsgiver</w:t>
      </w:r>
      <w:r w:rsidR="00880ACF">
        <w:t xml:space="preserve"> eller til </w:t>
      </w:r>
      <w:hyperlink r:id="rId12" w:history="1">
        <w:r w:rsidR="00880ACF" w:rsidRPr="00B84100">
          <w:rPr>
            <w:rStyle w:val="Hyperkobling"/>
          </w:rPr>
          <w:t>postmottak@froya.kommune.no</w:t>
        </w:r>
      </w:hyperlink>
      <w:r w:rsidR="00880ACF">
        <w:t xml:space="preserve"> </w:t>
      </w:r>
    </w:p>
    <w:p w14:paraId="49536377" w14:textId="77777777" w:rsidR="00120172" w:rsidRDefault="00120172">
      <w:pPr>
        <w:pStyle w:val="Standard"/>
      </w:pPr>
    </w:p>
    <w:p w14:paraId="1F1BA5EC" w14:textId="77777777" w:rsidR="00120172" w:rsidRDefault="00732EB0">
      <w:pPr>
        <w:pStyle w:val="Standard"/>
      </w:pPr>
      <w:r>
        <w:lastRenderedPageBreak/>
        <w:t>Tilbudet skal være oppdragsgiver i hende på innleveringsstedet før utløpet av tilbudsfristen.</w:t>
      </w:r>
    </w:p>
    <w:p w14:paraId="02B91279" w14:textId="77777777" w:rsidR="00120172" w:rsidRDefault="00120172">
      <w:pPr>
        <w:pStyle w:val="Standard"/>
      </w:pPr>
    </w:p>
    <w:p w14:paraId="1106673A" w14:textId="77777777" w:rsidR="00120172" w:rsidRDefault="00732EB0">
      <w:pPr>
        <w:pStyle w:val="Standard"/>
      </w:pPr>
      <w:r>
        <w:t>For sent innkomne tilbud vil bli avvist.</w:t>
      </w:r>
    </w:p>
    <w:p w14:paraId="3DB2E98D" w14:textId="77777777" w:rsidR="00120172" w:rsidRDefault="00732EB0">
      <w:pPr>
        <w:pStyle w:val="Overskrift2"/>
        <w:numPr>
          <w:ilvl w:val="1"/>
          <w:numId w:val="3"/>
        </w:numPr>
      </w:pPr>
      <w:bookmarkStart w:id="18" w:name="_Toc201116209"/>
      <w:bookmarkStart w:id="19" w:name="_Toc442434244"/>
      <w:r>
        <w:t>Innlevering av tilbud</w:t>
      </w:r>
      <w:bookmarkEnd w:id="18"/>
      <w:bookmarkEnd w:id="19"/>
    </w:p>
    <w:p w14:paraId="13B689A9" w14:textId="77777777" w:rsidR="00120172" w:rsidRDefault="00732EB0">
      <w:pPr>
        <w:pStyle w:val="Standard"/>
      </w:pPr>
      <w:r>
        <w:t xml:space="preserve">Tilbudet skal være skriftlig og undertegnet av </w:t>
      </w:r>
      <w:r>
        <w:rPr>
          <w:rFonts w:cs="Arial"/>
          <w:szCs w:val="20"/>
        </w:rPr>
        <w:t>person(er) som har fullmakt til å forplikte leverandøren.</w:t>
      </w:r>
    </w:p>
    <w:p w14:paraId="5CCBDE27" w14:textId="77777777" w:rsidR="00120172" w:rsidRDefault="00120172">
      <w:pPr>
        <w:pStyle w:val="Standard"/>
        <w:rPr>
          <w:rFonts w:cs="Arial"/>
          <w:szCs w:val="20"/>
        </w:rPr>
      </w:pPr>
    </w:p>
    <w:p w14:paraId="14165C22" w14:textId="77777777" w:rsidR="00120172" w:rsidRDefault="00732EB0">
      <w:pPr>
        <w:pStyle w:val="Standard"/>
      </w:pPr>
      <w:r>
        <w:rPr>
          <w:rFonts w:cs="Arial"/>
          <w:szCs w:val="20"/>
        </w:rPr>
        <w:t xml:space="preserve">Tilbudet skal være merket med </w:t>
      </w:r>
      <w:r w:rsidR="0047455D">
        <w:rPr>
          <w:rFonts w:cs="Arial"/>
          <w:b/>
          <w:i/>
          <w:szCs w:val="20"/>
        </w:rPr>
        <w:t xml:space="preserve">«Utleieboliger med tilvisningsavtale» </w:t>
      </w:r>
    </w:p>
    <w:p w14:paraId="38D92F49" w14:textId="77777777" w:rsidR="00120172" w:rsidRDefault="00120172">
      <w:pPr>
        <w:pStyle w:val="Standard"/>
        <w:rPr>
          <w:rFonts w:cs="Arial"/>
          <w:i/>
          <w:szCs w:val="20"/>
        </w:rPr>
      </w:pPr>
    </w:p>
    <w:p w14:paraId="7EF7E06D" w14:textId="4AA0D2BC" w:rsidR="00120172" w:rsidRDefault="00732EB0">
      <w:pPr>
        <w:pStyle w:val="Standard"/>
      </w:pPr>
      <w:r>
        <w:t xml:space="preserve">Tilbudet skal være på norsk. I tillegg bes levert en utgave av tilbudet hvor det som leverandøren mener er forretningshemmeligheter er sladdet. Tilbudet inklusiv den sladdede versjonen </w:t>
      </w:r>
      <w:r w:rsidR="00880ACF">
        <w:t xml:space="preserve">kan leveres </w:t>
      </w:r>
      <w:r>
        <w:t xml:space="preserve">elektronisk på minnepinne. </w:t>
      </w:r>
      <w:bookmarkStart w:id="20" w:name="_GoBack"/>
      <w:bookmarkEnd w:id="20"/>
    </w:p>
    <w:p w14:paraId="0669BECC" w14:textId="77777777" w:rsidR="00120172" w:rsidRDefault="00120172">
      <w:pPr>
        <w:pStyle w:val="Standard"/>
      </w:pPr>
    </w:p>
    <w:p w14:paraId="21C93BB4" w14:textId="77777777" w:rsidR="00120172" w:rsidRDefault="00732EB0">
      <w:pPr>
        <w:pStyle w:val="Standard"/>
      </w:pPr>
      <w:r>
        <w:t>Tilbudet skal leveres til:</w:t>
      </w:r>
    </w:p>
    <w:p w14:paraId="40042695" w14:textId="0E4E2E58" w:rsidR="00120172" w:rsidRDefault="00732EB0">
      <w:pPr>
        <w:pStyle w:val="Standard"/>
      </w:pPr>
      <w:r>
        <w:t>Navn:</w:t>
      </w:r>
      <w:r>
        <w:tab/>
      </w:r>
      <w:r>
        <w:tab/>
      </w:r>
      <w:r w:rsidR="007076F6">
        <w:t>Frøya kommune</w:t>
      </w:r>
    </w:p>
    <w:p w14:paraId="7A48F2D3" w14:textId="1D78B421" w:rsidR="00120172" w:rsidRDefault="00732EB0">
      <w:pPr>
        <w:pStyle w:val="Standard"/>
      </w:pPr>
      <w:r>
        <w:t>Adresse:</w:t>
      </w:r>
      <w:r>
        <w:tab/>
      </w:r>
      <w:r w:rsidR="001C2A3C">
        <w:t>Rådhus</w:t>
      </w:r>
      <w:r w:rsidR="007076F6">
        <w:t>gata</w:t>
      </w:r>
      <w:r w:rsidR="001C2A3C">
        <w:t xml:space="preserve"> 2</w:t>
      </w:r>
      <w:r w:rsidR="007076F6">
        <w:t>5</w:t>
      </w:r>
      <w:r w:rsidR="001C2A3C">
        <w:t>, 72</w:t>
      </w:r>
      <w:r w:rsidR="007076F6">
        <w:t>60</w:t>
      </w:r>
      <w:r w:rsidR="001C2A3C">
        <w:t xml:space="preserve"> </w:t>
      </w:r>
      <w:r w:rsidR="007076F6">
        <w:t xml:space="preserve">Sistranda, eller </w:t>
      </w:r>
      <w:r>
        <w:t>– i resepsjonen</w:t>
      </w:r>
      <w:r w:rsidR="001C2A3C">
        <w:t>/servicetorg</w:t>
      </w:r>
      <w:r w:rsidR="007076F6">
        <w:t>, eller</w:t>
      </w:r>
    </w:p>
    <w:p w14:paraId="03454E1C" w14:textId="13E83917" w:rsidR="00880ACF" w:rsidRDefault="007076F6">
      <w:pPr>
        <w:pStyle w:val="Standard"/>
      </w:pPr>
      <w:r>
        <w:t xml:space="preserve">e-post: </w:t>
      </w:r>
      <w:r>
        <w:tab/>
      </w:r>
      <w:hyperlink r:id="rId13" w:history="1">
        <w:r w:rsidR="00880ACF" w:rsidRPr="00B84100">
          <w:rPr>
            <w:rStyle w:val="Hyperkobling"/>
          </w:rPr>
          <w:t>postmottak@froya.kommune.no</w:t>
        </w:r>
      </w:hyperlink>
      <w:r w:rsidR="00880ACF">
        <w:t xml:space="preserve"> </w:t>
      </w:r>
    </w:p>
    <w:p w14:paraId="5B987A8B" w14:textId="77777777" w:rsidR="00120172" w:rsidRDefault="00732EB0">
      <w:pPr>
        <w:pStyle w:val="Overskrift2"/>
        <w:numPr>
          <w:ilvl w:val="1"/>
          <w:numId w:val="3"/>
        </w:numPr>
      </w:pPr>
      <w:bookmarkStart w:id="21" w:name="_Toc201116210"/>
      <w:bookmarkStart w:id="22" w:name="_Toc442434245"/>
      <w:r>
        <w:t>Ønsket presentasjonsform</w:t>
      </w:r>
      <w:bookmarkEnd w:id="21"/>
      <w:bookmarkEnd w:id="22"/>
    </w:p>
    <w:p w14:paraId="03A203F0" w14:textId="45FBC55C" w:rsidR="00120172" w:rsidRDefault="00732EB0">
      <w:pPr>
        <w:pStyle w:val="Standard"/>
      </w:pPr>
      <w:r>
        <w:t>Tilbudet skal leveres med inndeling som beskrevet nedenfor.</w:t>
      </w:r>
    </w:p>
    <w:p w14:paraId="797DAEB4" w14:textId="77777777" w:rsidR="00120172" w:rsidRDefault="00120172">
      <w:pPr>
        <w:pStyle w:val="Standard"/>
      </w:pPr>
    </w:p>
    <w:tbl>
      <w:tblPr>
        <w:tblW w:w="9214" w:type="dxa"/>
        <w:tblInd w:w="-5" w:type="dxa"/>
        <w:tblLayout w:type="fixed"/>
        <w:tblCellMar>
          <w:left w:w="10" w:type="dxa"/>
          <w:right w:w="10" w:type="dxa"/>
        </w:tblCellMar>
        <w:tblLook w:val="04A0" w:firstRow="1" w:lastRow="0" w:firstColumn="1" w:lastColumn="0" w:noHBand="0" w:noVBand="1"/>
      </w:tblPr>
      <w:tblGrid>
        <w:gridCol w:w="6663"/>
        <w:gridCol w:w="1701"/>
        <w:gridCol w:w="850"/>
      </w:tblGrid>
      <w:tr w:rsidR="00120172" w14:paraId="447C6206" w14:textId="77777777">
        <w:trPr>
          <w:tblHeader/>
        </w:trPr>
        <w:tc>
          <w:tcPr>
            <w:tcW w:w="6663"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65A42926" w14:textId="77777777" w:rsidR="00120172" w:rsidRDefault="00732EB0">
            <w:pPr>
              <w:pStyle w:val="Standard"/>
              <w:keepNext/>
              <w:keepLines/>
            </w:pPr>
            <w:r>
              <w:rPr>
                <w:b/>
                <w:bCs/>
              </w:rPr>
              <w:t>Dokumentasjon</w:t>
            </w:r>
            <w:r>
              <w:rPr>
                <w:b/>
                <w:bCs/>
              </w:rPr>
              <w:tab/>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5CB7716" w14:textId="77777777" w:rsidR="00120172" w:rsidRDefault="00732EB0">
            <w:pPr>
              <w:pStyle w:val="Standard"/>
              <w:keepNext/>
              <w:keepLines/>
            </w:pPr>
            <w:r>
              <w:rPr>
                <w:b/>
                <w:bCs/>
              </w:rPr>
              <w:t>Jf. pkt.</w:t>
            </w:r>
          </w:p>
        </w:tc>
        <w:tc>
          <w:tcPr>
            <w:tcW w:w="850"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49A4707E" w14:textId="7D4AB210" w:rsidR="00120172" w:rsidRDefault="007076F6">
            <w:pPr>
              <w:pStyle w:val="Standard"/>
              <w:keepNext/>
              <w:keepLines/>
            </w:pPr>
            <w:r>
              <w:rPr>
                <w:b/>
                <w:bCs/>
              </w:rPr>
              <w:t>Side</w:t>
            </w:r>
          </w:p>
        </w:tc>
      </w:tr>
      <w:tr w:rsidR="00120172" w14:paraId="606DD738"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C94842" w14:textId="77777777" w:rsidR="00120172" w:rsidRDefault="00732EB0">
            <w:pPr>
              <w:pStyle w:val="Standard"/>
              <w:numPr>
                <w:ilvl w:val="0"/>
                <w:numId w:val="20"/>
              </w:numPr>
            </w:pPr>
            <w:r>
              <w:t>Signert tilbudsbrev.</w:t>
            </w:r>
          </w:p>
          <w:p w14:paraId="2EE60224" w14:textId="77777777" w:rsidR="00120172" w:rsidRDefault="00732EB0">
            <w:pPr>
              <w:pStyle w:val="Standard"/>
              <w:ind w:left="360"/>
            </w:pPr>
            <w:r>
              <w:t>Forbehold skal klart fremgå av</w:t>
            </w:r>
            <w:r>
              <w:rPr>
                <w:i/>
              </w:rPr>
              <w:t xml:space="preserve"> </w:t>
            </w:r>
            <w:r>
              <w:t>tilbudsbrevet med henvisning til hvor i tilbudet forbeholdet framkommer (sidetall og punktnummer)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8ECE3CA" w14:textId="77777777" w:rsidR="00120172" w:rsidRDefault="00120172">
            <w:pPr>
              <w:pStyle w:val="Standard"/>
              <w:keepNext/>
              <w:keepLines/>
              <w:jc w:val="center"/>
            </w:pP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EB8583" w14:textId="77777777" w:rsidR="00120172" w:rsidRDefault="00732EB0">
            <w:pPr>
              <w:pStyle w:val="Standard"/>
              <w:keepNext/>
              <w:keepLines/>
              <w:jc w:val="center"/>
            </w:pPr>
            <w:r>
              <w:t>1</w:t>
            </w:r>
          </w:p>
        </w:tc>
      </w:tr>
      <w:tr w:rsidR="00120172" w14:paraId="56747B82"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E65702" w14:textId="77777777" w:rsidR="00120172" w:rsidRDefault="00732EB0">
            <w:pPr>
              <w:pStyle w:val="Standard"/>
              <w:numPr>
                <w:ilvl w:val="0"/>
                <w:numId w:val="5"/>
              </w:numPr>
            </w:pPr>
            <w:r>
              <w:t>Attest for skatt og merverdiavgift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A4D57F" w14:textId="77777777" w:rsidR="00120172" w:rsidRDefault="00732EB0">
            <w:pPr>
              <w:pStyle w:val="Standard"/>
            </w:pPr>
            <w:r>
              <w:rPr>
                <w:sz w:val="22"/>
                <w:szCs w:val="22"/>
              </w:rPr>
              <w:t>jf. punkt 2.2</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9F4707" w14:textId="77777777" w:rsidR="00120172" w:rsidRDefault="00732EB0">
            <w:pPr>
              <w:pStyle w:val="Standard"/>
              <w:jc w:val="center"/>
            </w:pPr>
            <w:r>
              <w:t>2</w:t>
            </w:r>
          </w:p>
        </w:tc>
      </w:tr>
      <w:tr w:rsidR="00120172" w14:paraId="008FF4AC"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B30B42" w14:textId="77777777" w:rsidR="00120172" w:rsidRDefault="00732EB0">
            <w:pPr>
              <w:pStyle w:val="Standard"/>
              <w:numPr>
                <w:ilvl w:val="0"/>
                <w:numId w:val="5"/>
              </w:numPr>
            </w:pPr>
            <w:r>
              <w:t>Dokumentasjon på leverandørens organisatoriske og juridiske stilling,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C3D0E5" w14:textId="77777777" w:rsidR="00120172" w:rsidRDefault="00732EB0">
            <w:pPr>
              <w:pStyle w:val="Standard"/>
            </w:pPr>
            <w:r>
              <w:rPr>
                <w:sz w:val="22"/>
                <w:szCs w:val="22"/>
              </w:rPr>
              <w:t>jf. punkt 2.3.1</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31CCF0" w14:textId="77777777" w:rsidR="00120172" w:rsidRDefault="00732EB0">
            <w:pPr>
              <w:pStyle w:val="Standard"/>
              <w:jc w:val="center"/>
            </w:pPr>
            <w:r>
              <w:t>3</w:t>
            </w:r>
          </w:p>
        </w:tc>
      </w:tr>
      <w:tr w:rsidR="00120172" w14:paraId="7061AE3C"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AA2A06" w14:textId="77777777" w:rsidR="00120172" w:rsidRDefault="00732EB0">
            <w:pPr>
              <w:pStyle w:val="Standard"/>
              <w:numPr>
                <w:ilvl w:val="0"/>
                <w:numId w:val="5"/>
              </w:numPr>
            </w:pPr>
            <w:r>
              <w:t>Dokumentasjon på leverandørens finansiell og økonomisk stilling,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41B0337" w14:textId="77777777" w:rsidR="00120172" w:rsidRDefault="00732EB0">
            <w:pPr>
              <w:pStyle w:val="Standard"/>
            </w:pPr>
            <w:r>
              <w:rPr>
                <w:sz w:val="22"/>
                <w:szCs w:val="22"/>
              </w:rPr>
              <w:t>jf. punkt 2.3.2</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5754EC" w14:textId="77777777" w:rsidR="00120172" w:rsidRDefault="00732EB0">
            <w:pPr>
              <w:pStyle w:val="Standard"/>
              <w:jc w:val="center"/>
            </w:pPr>
            <w:r>
              <w:t>4</w:t>
            </w:r>
          </w:p>
        </w:tc>
      </w:tr>
      <w:tr w:rsidR="00120172" w14:paraId="1AA3B6E7"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661F17" w14:textId="77777777" w:rsidR="00120172" w:rsidRDefault="00732EB0">
            <w:pPr>
              <w:pStyle w:val="Standard"/>
              <w:numPr>
                <w:ilvl w:val="0"/>
                <w:numId w:val="5"/>
              </w:numPr>
            </w:pPr>
            <w:r>
              <w:t>Dokumentasjon på leverandørens tekniske og faglige kvalifikasjoner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EC3B9C1" w14:textId="77777777" w:rsidR="00120172" w:rsidRDefault="00732EB0">
            <w:pPr>
              <w:pStyle w:val="Standard"/>
            </w:pPr>
            <w:r>
              <w:rPr>
                <w:sz w:val="22"/>
                <w:szCs w:val="22"/>
              </w:rPr>
              <w:t>jf. punkt 2.3.3</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B9F975" w14:textId="77777777" w:rsidR="00120172" w:rsidRDefault="00732EB0">
            <w:pPr>
              <w:pStyle w:val="Standard"/>
              <w:jc w:val="center"/>
            </w:pPr>
            <w:r>
              <w:t>5</w:t>
            </w:r>
          </w:p>
        </w:tc>
      </w:tr>
      <w:tr w:rsidR="00120172" w14:paraId="6CAF3EC4"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AC74A4" w14:textId="77777777" w:rsidR="00120172" w:rsidRDefault="00732EB0">
            <w:pPr>
              <w:pStyle w:val="Standard"/>
              <w:numPr>
                <w:ilvl w:val="0"/>
                <w:numId w:val="5"/>
              </w:numPr>
            </w:pPr>
            <w:r>
              <w:t>Leverandørens besvarelse på kravspesifikasjonen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037E50" w14:textId="77777777" w:rsidR="00120172" w:rsidRDefault="00120172">
            <w:pPr>
              <w:pStyle w:val="Standard"/>
              <w:jc w:val="center"/>
              <w:rPr>
                <w:sz w:val="22"/>
                <w:szCs w:val="22"/>
              </w:rPr>
            </w:pP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118885" w14:textId="77777777" w:rsidR="00120172" w:rsidRDefault="00732EB0">
            <w:pPr>
              <w:pStyle w:val="Standard"/>
              <w:jc w:val="center"/>
            </w:pPr>
            <w:r>
              <w:t>6</w:t>
            </w:r>
          </w:p>
        </w:tc>
      </w:tr>
      <w:tr w:rsidR="00120172" w14:paraId="2B852E33"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07C6FD" w14:textId="77777777" w:rsidR="00120172" w:rsidRDefault="00732EB0">
            <w:pPr>
              <w:pStyle w:val="Standard"/>
              <w:numPr>
                <w:ilvl w:val="0"/>
                <w:numId w:val="5"/>
              </w:numPr>
            </w:pPr>
            <w:r>
              <w:t xml:space="preserve">Dokumentasjon </w:t>
            </w:r>
            <w:proofErr w:type="spellStart"/>
            <w:r>
              <w:t>ift</w:t>
            </w:r>
            <w:proofErr w:type="spellEnd"/>
            <w:r>
              <w:t>. tildelingskriteriene,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7698D09" w14:textId="77777777" w:rsidR="00120172" w:rsidRDefault="00732EB0">
            <w:pPr>
              <w:pStyle w:val="Standard"/>
            </w:pPr>
            <w:r>
              <w:rPr>
                <w:sz w:val="22"/>
                <w:szCs w:val="22"/>
              </w:rPr>
              <w:t>jf. punkt 3.1</w:t>
            </w: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5463CA" w14:textId="77777777" w:rsidR="00120172" w:rsidRDefault="00732EB0">
            <w:pPr>
              <w:pStyle w:val="Standard"/>
              <w:jc w:val="center"/>
            </w:pPr>
            <w:r>
              <w:t>7</w:t>
            </w:r>
          </w:p>
        </w:tc>
      </w:tr>
      <w:tr w:rsidR="00120172" w14:paraId="38999850" w14:textId="77777777">
        <w:tc>
          <w:tcPr>
            <w:tcW w:w="6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4A30FF" w14:textId="77777777" w:rsidR="00120172" w:rsidRDefault="00732EB0">
            <w:pPr>
              <w:pStyle w:val="Standard"/>
              <w:numPr>
                <w:ilvl w:val="0"/>
                <w:numId w:val="5"/>
              </w:numPr>
            </w:pPr>
            <w:r>
              <w:t>Sladdet utgave av tilbudet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C4671A4" w14:textId="77777777" w:rsidR="00120172" w:rsidRDefault="00120172">
            <w:pPr>
              <w:pStyle w:val="Standard"/>
              <w:jc w:val="center"/>
            </w:pPr>
          </w:p>
        </w:tc>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827399" w14:textId="77777777" w:rsidR="00120172" w:rsidRDefault="00732EB0">
            <w:pPr>
              <w:pStyle w:val="Standard"/>
              <w:jc w:val="center"/>
            </w:pPr>
            <w:r>
              <w:t>8</w:t>
            </w:r>
          </w:p>
        </w:tc>
      </w:tr>
    </w:tbl>
    <w:p w14:paraId="777505D5" w14:textId="77777777" w:rsidR="00120172" w:rsidRDefault="00120172">
      <w:pPr>
        <w:pStyle w:val="Standard"/>
      </w:pPr>
    </w:p>
    <w:p w14:paraId="5F6DB53D" w14:textId="77777777" w:rsidR="00120172" w:rsidRDefault="00732EB0">
      <w:pPr>
        <w:pStyle w:val="Standard"/>
      </w:pPr>
      <w:r>
        <w:t>Manglende innlevering av dokumentasjon kan medføre avvisning.</w:t>
      </w:r>
    </w:p>
    <w:p w14:paraId="0ECEBE8E" w14:textId="77777777" w:rsidR="00120172" w:rsidRDefault="00120172">
      <w:pPr>
        <w:pStyle w:val="Standard"/>
      </w:pPr>
    </w:p>
    <w:p w14:paraId="2C70F573" w14:textId="77777777" w:rsidR="00120172" w:rsidRDefault="00732EB0">
      <w:pPr>
        <w:pStyle w:val="Standard"/>
      </w:pPr>
      <w:r>
        <w:t>Det gjøres oppmerksom på at dersom leverandør ønsker å søke finansiering med grunnlån fra Husbanken, så gjelder egne krav til dokumentasjon. Det vises her til pkt. 4 i kravspesifikasjonen.</w:t>
      </w:r>
    </w:p>
    <w:p w14:paraId="04850889" w14:textId="77777777" w:rsidR="00120172" w:rsidRDefault="00732EB0">
      <w:pPr>
        <w:pStyle w:val="Overskrift2"/>
        <w:numPr>
          <w:ilvl w:val="1"/>
          <w:numId w:val="3"/>
        </w:numPr>
      </w:pPr>
      <w:bookmarkStart w:id="23" w:name="_Toc201116211"/>
      <w:bookmarkStart w:id="24" w:name="_Toc442434246"/>
      <w:r>
        <w:t>Vedståelsesfrist</w:t>
      </w:r>
      <w:bookmarkEnd w:id="23"/>
      <w:bookmarkEnd w:id="24"/>
    </w:p>
    <w:p w14:paraId="7EA51561" w14:textId="6C74BBC0" w:rsidR="00120172" w:rsidRDefault="00732EB0">
      <w:pPr>
        <w:pStyle w:val="Standard"/>
      </w:pPr>
      <w:r>
        <w:t>Leverandøren er b</w:t>
      </w:r>
      <w:r w:rsidR="001C2A3C">
        <w:t xml:space="preserve">undet av tilbudet til </w:t>
      </w:r>
      <w:r w:rsidR="0047455D" w:rsidRPr="004E0B8B">
        <w:t>1/</w:t>
      </w:r>
      <w:r w:rsidR="004E0B8B" w:rsidRPr="004E0B8B">
        <w:t>10</w:t>
      </w:r>
      <w:r w:rsidR="0047455D" w:rsidRPr="004E0B8B">
        <w:t xml:space="preserve"> </w:t>
      </w:r>
      <w:r w:rsidR="00F25BC1" w:rsidRPr="004E0B8B">
        <w:t>-</w:t>
      </w:r>
      <w:r w:rsidR="0047455D" w:rsidRPr="004E0B8B">
        <w:t xml:space="preserve"> </w:t>
      </w:r>
      <w:r w:rsidR="00F25BC1" w:rsidRPr="004E0B8B">
        <w:t>20</w:t>
      </w:r>
      <w:r w:rsidR="004E0B8B" w:rsidRPr="004E0B8B">
        <w:t>23</w:t>
      </w:r>
      <w:r w:rsidRPr="004E0B8B">
        <w:t>, kl. 1200</w:t>
      </w:r>
    </w:p>
    <w:p w14:paraId="1E32317C" w14:textId="77777777" w:rsidR="00120172" w:rsidRDefault="00732EB0">
      <w:pPr>
        <w:pStyle w:val="Overskrift2"/>
        <w:numPr>
          <w:ilvl w:val="1"/>
          <w:numId w:val="3"/>
        </w:numPr>
      </w:pPr>
      <w:bookmarkStart w:id="25" w:name="_Toc201116214"/>
      <w:bookmarkStart w:id="26" w:name="_Toc442434249"/>
      <w:r>
        <w:lastRenderedPageBreak/>
        <w:t>Leverandørkonferanse</w:t>
      </w:r>
      <w:bookmarkEnd w:id="25"/>
      <w:bookmarkEnd w:id="26"/>
    </w:p>
    <w:p w14:paraId="06A136A5" w14:textId="77777777" w:rsidR="00120172" w:rsidRDefault="00120172">
      <w:pPr>
        <w:pStyle w:val="Standard"/>
      </w:pPr>
    </w:p>
    <w:p w14:paraId="71BA0E30" w14:textId="77777777" w:rsidR="001C2A3C" w:rsidRDefault="001C2A3C">
      <w:pPr>
        <w:pStyle w:val="Standard"/>
      </w:pPr>
      <w:r>
        <w:t xml:space="preserve">Det er ikke langt opp til leverandørkonferanse i denne utlysningen </w:t>
      </w:r>
    </w:p>
    <w:p w14:paraId="09BF34C3" w14:textId="77777777" w:rsidR="00120172" w:rsidRDefault="00732EB0">
      <w:pPr>
        <w:pStyle w:val="Overskrift2"/>
        <w:numPr>
          <w:ilvl w:val="1"/>
          <w:numId w:val="3"/>
        </w:numPr>
      </w:pPr>
      <w:bookmarkStart w:id="27" w:name="_Toc442434250"/>
      <w:r>
        <w:t>Opplysningsplikt</w:t>
      </w:r>
      <w:bookmarkEnd w:id="27"/>
    </w:p>
    <w:p w14:paraId="0757D0EB" w14:textId="77777777" w:rsidR="00120172" w:rsidRDefault="00732EB0">
      <w:pPr>
        <w:pStyle w:val="Standard"/>
      </w:pPr>
      <w:r>
        <w:rPr>
          <w:szCs w:val="20"/>
        </w:rPr>
        <w:t>Oppdragsgiver vil gi skriftlig melding med en kort begrunnelse dersom leverandør eller tilbud</w:t>
      </w:r>
      <w:r>
        <w:rPr>
          <w:rFonts w:cs="Arial"/>
          <w:szCs w:val="20"/>
        </w:rPr>
        <w:t xml:space="preserve"> avvises, samtlige tilbud forkastes eller konkurransen avlyses.</w:t>
      </w:r>
    </w:p>
    <w:p w14:paraId="4EF68410" w14:textId="77777777" w:rsidR="00120172" w:rsidRDefault="00732EB0">
      <w:pPr>
        <w:pStyle w:val="Overskrift2"/>
        <w:numPr>
          <w:ilvl w:val="1"/>
          <w:numId w:val="3"/>
        </w:numPr>
      </w:pPr>
      <w:bookmarkStart w:id="28" w:name="_Toc442434251"/>
      <w:r>
        <w:t>Taushetsplikt</w:t>
      </w:r>
      <w:bookmarkEnd w:id="28"/>
    </w:p>
    <w:p w14:paraId="62353898" w14:textId="77777777" w:rsidR="00120172" w:rsidRDefault="00732EB0">
      <w:pPr>
        <w:pStyle w:val="Standard"/>
      </w:pPr>
      <w:r>
        <w:t>Oppdragsgiver og dennes ansatte plikter å hindre at andre får adgang eller kjennskap til opplysninger om tekniske innretninger og fremgangsmåter eller drifts- og forretningsforhold det vil være av konkurransemessig betydning å hemmeligholde, jf. forvaltningsloven § 13.</w:t>
      </w:r>
    </w:p>
    <w:p w14:paraId="2EC916CE" w14:textId="77777777" w:rsidR="00120172" w:rsidRDefault="00732EB0">
      <w:pPr>
        <w:pStyle w:val="Overskrift2"/>
        <w:numPr>
          <w:ilvl w:val="1"/>
          <w:numId w:val="3"/>
        </w:numPr>
      </w:pPr>
      <w:bookmarkStart w:id="29" w:name="_Toc442434252"/>
      <w:r>
        <w:t>Offentlighet</w:t>
      </w:r>
      <w:bookmarkEnd w:id="29"/>
    </w:p>
    <w:p w14:paraId="737CB2C7" w14:textId="77777777" w:rsidR="00120172" w:rsidRDefault="00732EB0">
      <w:pPr>
        <w:pStyle w:val="Standard"/>
      </w:pPr>
      <w:r>
        <w:t>Leverandørene bes levere en utgave av tilbudet hvor det som leverandøren mener er forretningshemmeligheter er sladdet. Ved begjæring om innsyn skal oppdragsgiver uavhengig av dette vurdere hvorvidt opplysningene er av en slik art at oppdragsgiver plikter å unnta dem fra offentlighet.</w:t>
      </w:r>
    </w:p>
    <w:p w14:paraId="11E3633F" w14:textId="77777777" w:rsidR="00120172" w:rsidRDefault="00732EB0">
      <w:pPr>
        <w:pStyle w:val="Overskrift2"/>
        <w:numPr>
          <w:ilvl w:val="1"/>
          <w:numId w:val="3"/>
        </w:numPr>
      </w:pPr>
      <w:bookmarkStart w:id="30" w:name="_Toc201116218"/>
      <w:bookmarkStart w:id="31" w:name="_Toc442434254"/>
      <w:r>
        <w:t>Forbehold</w:t>
      </w:r>
      <w:bookmarkEnd w:id="30"/>
      <w:bookmarkEnd w:id="31"/>
    </w:p>
    <w:p w14:paraId="5B63318A" w14:textId="77777777" w:rsidR="00120172" w:rsidRDefault="00732EB0">
      <w:pPr>
        <w:pStyle w:val="Standard"/>
      </w:pPr>
      <w:r>
        <w:t>Det er ikke anledning til å ta vesentlige forbehold mot konkurransegrunnlaget (forbehold mot grunnleggende elementer). Tilbud som inneholder slike vesentlige forbehold vil bli avvist.</w:t>
      </w:r>
    </w:p>
    <w:p w14:paraId="07706A2E" w14:textId="77777777" w:rsidR="00120172" w:rsidRDefault="00120172">
      <w:pPr>
        <w:pStyle w:val="Standard"/>
      </w:pPr>
    </w:p>
    <w:p w14:paraId="7EA62187" w14:textId="77777777" w:rsidR="00120172" w:rsidRDefault="00732EB0">
      <w:pPr>
        <w:pStyle w:val="Standard"/>
      </w:pPr>
      <w:r>
        <w:t>Andre forbehold skal være presise og entydige, slik at oppdragsgiver kan vurdere og prise disse uten kontakt med leverandøren. Forbehold skal klart fremgå av</w:t>
      </w:r>
      <w:r>
        <w:rPr>
          <w:i/>
        </w:rPr>
        <w:t xml:space="preserve"> </w:t>
      </w:r>
      <w:r>
        <w:t>tilbudsbrevet med henvisning til hvor i tilbudet forbeholdet framkommer (sidetall og punktnummer).</w:t>
      </w:r>
    </w:p>
    <w:p w14:paraId="4661286F" w14:textId="77777777" w:rsidR="00120172" w:rsidRDefault="00120172">
      <w:pPr>
        <w:pStyle w:val="Standard"/>
      </w:pPr>
    </w:p>
    <w:p w14:paraId="185915D9" w14:textId="77777777" w:rsidR="00120172" w:rsidRDefault="00732EB0">
      <w:pPr>
        <w:pStyle w:val="Standard"/>
      </w:pPr>
      <w:r>
        <w:t>Tilbud som inneholder forbehold som medfører at tilbudet ikke lar seg sammenligne med øvrige tilbud, vil bli avvist.</w:t>
      </w:r>
    </w:p>
    <w:p w14:paraId="2CA7F269" w14:textId="77777777" w:rsidR="00120172" w:rsidRDefault="00732EB0">
      <w:pPr>
        <w:pStyle w:val="Standard"/>
      </w:pPr>
      <w:r>
        <w:t>Leverandørens henvisning til standardiserte leveringsvilkår eller lignende vil bli betraktet som forbehold dersom de avviker fra foreliggende konkurranse- eller kontrakts bestemmelser.</w:t>
      </w:r>
    </w:p>
    <w:p w14:paraId="420B720C" w14:textId="77777777" w:rsidR="00120172" w:rsidRDefault="00732EB0">
      <w:pPr>
        <w:pStyle w:val="Overskrift1"/>
        <w:numPr>
          <w:ilvl w:val="0"/>
          <w:numId w:val="3"/>
        </w:numPr>
      </w:pPr>
      <w:bookmarkStart w:id="32" w:name="_Toc442434256"/>
      <w:r>
        <w:t>KRAV TIL LEVERANDØRENE</w:t>
      </w:r>
      <w:bookmarkEnd w:id="32"/>
    </w:p>
    <w:p w14:paraId="4C231046" w14:textId="77777777" w:rsidR="00120172" w:rsidRDefault="00732EB0">
      <w:pPr>
        <w:pStyle w:val="Overskrift2"/>
        <w:numPr>
          <w:ilvl w:val="1"/>
          <w:numId w:val="3"/>
        </w:numPr>
      </w:pPr>
      <w:bookmarkStart w:id="33" w:name="_Toc442434257"/>
      <w:r>
        <w:t>Generelt om kvalifikasjonskrav</w:t>
      </w:r>
      <w:bookmarkEnd w:id="33"/>
    </w:p>
    <w:p w14:paraId="78342611" w14:textId="77777777" w:rsidR="00120172" w:rsidRDefault="00732EB0">
      <w:pPr>
        <w:pStyle w:val="Standard"/>
      </w:pPr>
      <w:r>
        <w:t>Leverandørens kvalifikasjoner vil bli vurdert ut fra innlevert dokumentasjon. Det er kun leverandører som er funnet kvalifisert som vil få sine tilbud evaluert. Nye aktører ønskes velkommen til å delta.</w:t>
      </w:r>
    </w:p>
    <w:p w14:paraId="03A555D0" w14:textId="77777777" w:rsidR="00120172" w:rsidRDefault="00120172">
      <w:pPr>
        <w:pStyle w:val="Standard"/>
      </w:pPr>
    </w:p>
    <w:p w14:paraId="78D9B4F2" w14:textId="77777777" w:rsidR="00120172" w:rsidRDefault="00732EB0">
      <w:pPr>
        <w:pStyle w:val="Overskrift2"/>
        <w:numPr>
          <w:ilvl w:val="1"/>
          <w:numId w:val="3"/>
        </w:numPr>
      </w:pPr>
      <w:bookmarkStart w:id="34" w:name="_Ref161213939"/>
      <w:bookmarkStart w:id="35" w:name="_Toc442434258"/>
      <w:r>
        <w:lastRenderedPageBreak/>
        <w:t>Obligatoriske og ufravikelige krav</w:t>
      </w:r>
      <w:bookmarkEnd w:id="34"/>
      <w:bookmarkEnd w:id="35"/>
    </w:p>
    <w:tbl>
      <w:tblPr>
        <w:tblW w:w="9163" w:type="dxa"/>
        <w:tblInd w:w="-5" w:type="dxa"/>
        <w:tblLayout w:type="fixed"/>
        <w:tblCellMar>
          <w:left w:w="10" w:type="dxa"/>
          <w:right w:w="10" w:type="dxa"/>
        </w:tblCellMar>
        <w:tblLook w:val="04A0" w:firstRow="1" w:lastRow="0" w:firstColumn="1" w:lastColumn="0" w:noHBand="0" w:noVBand="1"/>
      </w:tblPr>
      <w:tblGrid>
        <w:gridCol w:w="3740"/>
        <w:gridCol w:w="5423"/>
      </w:tblGrid>
      <w:tr w:rsidR="00120172" w14:paraId="289B2D87" w14:textId="77777777">
        <w:trPr>
          <w:tblHeader/>
        </w:trPr>
        <w:tc>
          <w:tcPr>
            <w:tcW w:w="3740"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52FFA472" w14:textId="77777777" w:rsidR="00120172" w:rsidRDefault="00732EB0">
            <w:pPr>
              <w:pStyle w:val="Standard"/>
              <w:keepNext/>
              <w:keepLines/>
            </w:pPr>
            <w:r>
              <w:rPr>
                <w:b/>
                <w:bCs/>
              </w:rPr>
              <w:t>Krav</w:t>
            </w:r>
            <w:r>
              <w:rPr>
                <w:b/>
                <w:bCs/>
              </w:rPr>
              <w:tab/>
            </w:r>
          </w:p>
        </w:tc>
        <w:tc>
          <w:tcPr>
            <w:tcW w:w="5422"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34547F0F" w14:textId="77777777" w:rsidR="00120172" w:rsidRDefault="00732EB0">
            <w:pPr>
              <w:pStyle w:val="Standard"/>
              <w:keepNext/>
              <w:keepLines/>
            </w:pPr>
            <w:r>
              <w:rPr>
                <w:b/>
                <w:bCs/>
              </w:rPr>
              <w:t>Dokumentasjonskrav</w:t>
            </w:r>
          </w:p>
        </w:tc>
      </w:tr>
      <w:tr w:rsidR="00120172" w14:paraId="02F3A0F3" w14:textId="77777777">
        <w:tc>
          <w:tcPr>
            <w:tcW w:w="37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2E6E08" w14:textId="77777777" w:rsidR="00120172" w:rsidRDefault="00732EB0">
            <w:pPr>
              <w:pStyle w:val="Standard"/>
              <w:keepNext/>
              <w:keepLines/>
              <w:numPr>
                <w:ilvl w:val="0"/>
                <w:numId w:val="21"/>
              </w:numPr>
            </w:pPr>
            <w:r>
              <w:t>Leverandøren skal ha ordnede forhold med hensyn til skatte- og merverdiavgiftsinnbetaling.</w:t>
            </w:r>
          </w:p>
        </w:tc>
        <w:tc>
          <w:tcPr>
            <w:tcW w:w="54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400883" w14:textId="77777777" w:rsidR="00120172" w:rsidRDefault="00732EB0">
            <w:pPr>
              <w:pStyle w:val="Standard"/>
              <w:numPr>
                <w:ilvl w:val="0"/>
                <w:numId w:val="5"/>
              </w:numPr>
            </w:pPr>
            <w:r>
              <w:t xml:space="preserve">Attest for skatt og merverdiavgift som ikke er eldre enn 6 måneder gammel. Attesten bestilles og hentes ut i </w:t>
            </w:r>
            <w:proofErr w:type="spellStart"/>
            <w:r>
              <w:t>Altinn</w:t>
            </w:r>
            <w:proofErr w:type="spellEnd"/>
            <w:r>
              <w:t>. Hvis dette ikke er mulig kan den bestilles hos skatteoppkrever eller Skatteetaten</w:t>
            </w:r>
          </w:p>
          <w:p w14:paraId="0793811B" w14:textId="77777777" w:rsidR="00120172" w:rsidRDefault="00120172">
            <w:pPr>
              <w:pStyle w:val="Standard"/>
              <w:keepNext/>
              <w:keepLines/>
            </w:pPr>
          </w:p>
          <w:p w14:paraId="40CC916C" w14:textId="77777777" w:rsidR="00120172" w:rsidRDefault="00732EB0">
            <w:pPr>
              <w:pStyle w:val="Standard"/>
              <w:keepNext/>
              <w:keepLines/>
            </w:pPr>
            <w:r>
              <w:t>Utenlandske leverandører skal fremlegge attest fra tilsvarende myndigheter som de norske.</w:t>
            </w:r>
          </w:p>
        </w:tc>
      </w:tr>
    </w:tbl>
    <w:p w14:paraId="57722D0B" w14:textId="77777777" w:rsidR="00120172" w:rsidRDefault="00120172">
      <w:pPr>
        <w:pStyle w:val="Standard"/>
      </w:pPr>
    </w:p>
    <w:p w14:paraId="5236E3A0" w14:textId="77777777" w:rsidR="00120172" w:rsidRDefault="00120172">
      <w:pPr>
        <w:pStyle w:val="Standard"/>
      </w:pPr>
    </w:p>
    <w:p w14:paraId="1EC75FCC" w14:textId="77777777" w:rsidR="00120172" w:rsidRDefault="00732EB0">
      <w:pPr>
        <w:pStyle w:val="Overskrift2"/>
        <w:numPr>
          <w:ilvl w:val="1"/>
          <w:numId w:val="3"/>
        </w:numPr>
      </w:pPr>
      <w:bookmarkStart w:id="36" w:name="_Toc442434259"/>
      <w:r>
        <w:t>Andre kvalifikasjonskrav</w:t>
      </w:r>
      <w:bookmarkEnd w:id="36"/>
    </w:p>
    <w:p w14:paraId="61B2D373" w14:textId="77777777" w:rsidR="00120172" w:rsidRDefault="00732EB0">
      <w:pPr>
        <w:pStyle w:val="Standard"/>
      </w:pPr>
      <w:r>
        <w:t>Oppfyllelse av de obligatoriske kravene ovenfor og kvalifikasjonskravene nedenfor er en forutsetning for videre deltakelse i konkurransen.</w:t>
      </w:r>
    </w:p>
    <w:p w14:paraId="2466C16A" w14:textId="77777777" w:rsidR="00120172" w:rsidRDefault="00732EB0">
      <w:pPr>
        <w:pStyle w:val="Overskrift3"/>
        <w:numPr>
          <w:ilvl w:val="2"/>
          <w:numId w:val="3"/>
        </w:numPr>
      </w:pPr>
      <w:bookmarkStart w:id="37" w:name="_Toc442434260"/>
      <w:r>
        <w:t>Krav knyttet til leverandørens organisatoriske og juridiske stilling</w:t>
      </w:r>
      <w:bookmarkEnd w:id="37"/>
    </w:p>
    <w:tbl>
      <w:tblPr>
        <w:tblW w:w="9163" w:type="dxa"/>
        <w:tblInd w:w="-5" w:type="dxa"/>
        <w:tblLayout w:type="fixed"/>
        <w:tblCellMar>
          <w:left w:w="10" w:type="dxa"/>
          <w:right w:w="10" w:type="dxa"/>
        </w:tblCellMar>
        <w:tblLook w:val="04A0" w:firstRow="1" w:lastRow="0" w:firstColumn="1" w:lastColumn="0" w:noHBand="0" w:noVBand="1"/>
      </w:tblPr>
      <w:tblGrid>
        <w:gridCol w:w="3240"/>
        <w:gridCol w:w="5923"/>
      </w:tblGrid>
      <w:tr w:rsidR="00120172" w14:paraId="00D867AB" w14:textId="77777777">
        <w:trPr>
          <w:tblHeader/>
        </w:trPr>
        <w:tc>
          <w:tcPr>
            <w:tcW w:w="3240"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1516C2CC" w14:textId="77777777" w:rsidR="00120172" w:rsidRDefault="00732EB0">
            <w:pPr>
              <w:pStyle w:val="Standard"/>
              <w:keepNext/>
              <w:keepLines/>
            </w:pPr>
            <w:r>
              <w:rPr>
                <w:b/>
                <w:bCs/>
              </w:rPr>
              <w:t>Krav</w:t>
            </w:r>
          </w:p>
        </w:tc>
        <w:tc>
          <w:tcPr>
            <w:tcW w:w="5922"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253BC3EF" w14:textId="77777777" w:rsidR="00120172" w:rsidRDefault="00732EB0">
            <w:pPr>
              <w:pStyle w:val="Standard"/>
              <w:keepNext/>
              <w:keepLines/>
            </w:pPr>
            <w:r>
              <w:rPr>
                <w:b/>
                <w:bCs/>
              </w:rPr>
              <w:t>Dokumentasjonskrav</w:t>
            </w:r>
          </w:p>
        </w:tc>
      </w:tr>
      <w:tr w:rsidR="00120172" w14:paraId="6D30F4DF" w14:textId="77777777">
        <w:trPr>
          <w:trHeight w:val="1257"/>
        </w:trPr>
        <w:tc>
          <w:tcPr>
            <w:tcW w:w="32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90DB54F" w14:textId="77777777" w:rsidR="00120172" w:rsidRDefault="00732EB0">
            <w:pPr>
              <w:pStyle w:val="Standard"/>
              <w:keepNext/>
              <w:keepLines/>
              <w:numPr>
                <w:ilvl w:val="0"/>
                <w:numId w:val="22"/>
              </w:numPr>
            </w:pPr>
            <w:r>
              <w:rPr>
                <w:szCs w:val="20"/>
              </w:rPr>
              <w:t>Leverandøren skal være et lovlig etablert foretak</w:t>
            </w:r>
          </w:p>
        </w:tc>
        <w:tc>
          <w:tcPr>
            <w:tcW w:w="592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F1554A" w14:textId="77777777" w:rsidR="00120172" w:rsidRDefault="00732EB0">
            <w:pPr>
              <w:pStyle w:val="Standard"/>
              <w:numPr>
                <w:ilvl w:val="0"/>
                <w:numId w:val="23"/>
              </w:numPr>
            </w:pPr>
            <w:r>
              <w:t>Norske selskaper: Firmaattest.</w:t>
            </w:r>
          </w:p>
          <w:p w14:paraId="5E61E90F" w14:textId="77777777" w:rsidR="00120172" w:rsidRDefault="00120172">
            <w:pPr>
              <w:pStyle w:val="Standard"/>
            </w:pPr>
          </w:p>
          <w:p w14:paraId="6D36DFB4" w14:textId="77777777" w:rsidR="00120172" w:rsidRDefault="00732EB0">
            <w:pPr>
              <w:pStyle w:val="Standard"/>
              <w:numPr>
                <w:ilvl w:val="0"/>
                <w:numId w:val="5"/>
              </w:numPr>
            </w:pPr>
            <w:r>
              <w:t>Utenlandske selskaper: Godtgjørelse på at selskapet er registrert i bransjeregister eller foretaksregister som foreskrevet i lovgivningen i det land hvor leverandøren er etablert.</w:t>
            </w:r>
          </w:p>
        </w:tc>
      </w:tr>
    </w:tbl>
    <w:p w14:paraId="0A2F1237" w14:textId="77777777" w:rsidR="00120172" w:rsidRDefault="00732EB0">
      <w:pPr>
        <w:pStyle w:val="Overskrift3"/>
        <w:numPr>
          <w:ilvl w:val="2"/>
          <w:numId w:val="3"/>
        </w:numPr>
      </w:pPr>
      <w:bookmarkStart w:id="38" w:name="_Toc442434261"/>
      <w:r>
        <w:t>Krav knyttet til leverandørens økonomiske og finansielle stilling</w:t>
      </w:r>
      <w:bookmarkEnd w:id="38"/>
    </w:p>
    <w:tbl>
      <w:tblPr>
        <w:tblW w:w="9178" w:type="dxa"/>
        <w:tblInd w:w="-5" w:type="dxa"/>
        <w:tblLayout w:type="fixed"/>
        <w:tblCellMar>
          <w:left w:w="10" w:type="dxa"/>
          <w:right w:w="10" w:type="dxa"/>
        </w:tblCellMar>
        <w:tblLook w:val="04A0" w:firstRow="1" w:lastRow="0" w:firstColumn="1" w:lastColumn="0" w:noHBand="0" w:noVBand="1"/>
      </w:tblPr>
      <w:tblGrid>
        <w:gridCol w:w="3178"/>
        <w:gridCol w:w="6000"/>
      </w:tblGrid>
      <w:tr w:rsidR="00120172" w14:paraId="5D8371AD" w14:textId="77777777">
        <w:trPr>
          <w:tblHeader/>
        </w:trPr>
        <w:tc>
          <w:tcPr>
            <w:tcW w:w="31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4ADA7D8E" w14:textId="77777777" w:rsidR="00120172" w:rsidRDefault="00732EB0">
            <w:pPr>
              <w:pStyle w:val="Standard"/>
              <w:keepNext/>
              <w:keepLines/>
            </w:pPr>
            <w:r>
              <w:rPr>
                <w:b/>
                <w:bCs/>
              </w:rPr>
              <w:t>Krav</w:t>
            </w:r>
          </w:p>
        </w:tc>
        <w:tc>
          <w:tcPr>
            <w:tcW w:w="5999"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3B0F858E" w14:textId="77777777" w:rsidR="00120172" w:rsidRDefault="00732EB0">
            <w:pPr>
              <w:pStyle w:val="Standard"/>
              <w:keepNext/>
              <w:keepLines/>
            </w:pPr>
            <w:r>
              <w:rPr>
                <w:b/>
                <w:bCs/>
              </w:rPr>
              <w:t>Dokumentasjonskrav</w:t>
            </w:r>
          </w:p>
        </w:tc>
      </w:tr>
      <w:tr w:rsidR="00120172" w14:paraId="470AB6CA" w14:textId="77777777">
        <w:tc>
          <w:tcPr>
            <w:tcW w:w="3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ACD291" w14:textId="77777777" w:rsidR="00120172" w:rsidRDefault="00732EB0">
            <w:pPr>
              <w:pStyle w:val="Standard"/>
              <w:numPr>
                <w:ilvl w:val="0"/>
                <w:numId w:val="24"/>
              </w:numPr>
            </w:pPr>
            <w:r>
              <w:t>Leverandøren skal ha økonomisk kapasitet til å gjennomføre oppdraget/kontrakten</w:t>
            </w:r>
          </w:p>
          <w:p w14:paraId="7F16BA8C" w14:textId="77777777" w:rsidR="00120172" w:rsidRDefault="00120172">
            <w:pPr>
              <w:pStyle w:val="Standard"/>
            </w:pPr>
          </w:p>
          <w:p w14:paraId="25FF7DB4" w14:textId="77777777" w:rsidR="00120172" w:rsidRDefault="00732EB0">
            <w:pPr>
              <w:pStyle w:val="Standard"/>
              <w:ind w:left="360"/>
            </w:pPr>
            <w:r>
              <w:t xml:space="preserve"> </w:t>
            </w:r>
          </w:p>
        </w:tc>
        <w:tc>
          <w:tcPr>
            <w:tcW w:w="5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862B25" w14:textId="77777777" w:rsidR="00120172" w:rsidRDefault="00732EB0">
            <w:pPr>
              <w:pStyle w:val="Standard"/>
              <w:numPr>
                <w:ilvl w:val="0"/>
                <w:numId w:val="5"/>
              </w:numPr>
            </w:pPr>
            <w:r>
              <w:t>Foretakets 3 siste årsregnskap inklusive noter, styrets, årsberetninger og revisjonsberetninger, samt nyere opplysninger som har relevans for foretakets regnskapstall.</w:t>
            </w:r>
          </w:p>
          <w:p w14:paraId="17321298" w14:textId="77777777" w:rsidR="00120172" w:rsidRDefault="00120172">
            <w:pPr>
              <w:pStyle w:val="Standard"/>
            </w:pPr>
          </w:p>
          <w:p w14:paraId="77001720" w14:textId="77777777" w:rsidR="00120172" w:rsidRDefault="00732EB0">
            <w:pPr>
              <w:pStyle w:val="Standard"/>
            </w:pPr>
            <w:r>
              <w:t>og/eller</w:t>
            </w:r>
          </w:p>
          <w:p w14:paraId="59841285" w14:textId="77777777" w:rsidR="00120172" w:rsidRDefault="00120172">
            <w:pPr>
              <w:pStyle w:val="Standard"/>
            </w:pPr>
          </w:p>
          <w:p w14:paraId="3AC767BC" w14:textId="77777777" w:rsidR="00120172" w:rsidRDefault="00732EB0">
            <w:pPr>
              <w:pStyle w:val="Standard"/>
              <w:numPr>
                <w:ilvl w:val="0"/>
                <w:numId w:val="5"/>
              </w:numPr>
            </w:pPr>
            <w:r>
              <w:t>Kredittvurdering/</w:t>
            </w:r>
            <w:proofErr w:type="spellStart"/>
            <w:r>
              <w:t>rating</w:t>
            </w:r>
            <w:proofErr w:type="spellEnd"/>
            <w:r>
              <w:t>, ikke eldre enn 1 år, og som baserer seg på siste kjente regnskapstall.</w:t>
            </w:r>
          </w:p>
          <w:p w14:paraId="0EE374F6" w14:textId="77777777" w:rsidR="00120172" w:rsidRDefault="00120172">
            <w:pPr>
              <w:pStyle w:val="Standard"/>
              <w:keepNext/>
              <w:keepLines/>
              <w:spacing w:line="300" w:lineRule="atLeast"/>
              <w:rPr>
                <w:color w:val="000000"/>
                <w:szCs w:val="20"/>
              </w:rPr>
            </w:pPr>
          </w:p>
        </w:tc>
      </w:tr>
    </w:tbl>
    <w:p w14:paraId="011350C8" w14:textId="77777777" w:rsidR="00120172" w:rsidRDefault="00120172">
      <w:pPr>
        <w:pStyle w:val="Standard"/>
      </w:pPr>
    </w:p>
    <w:p w14:paraId="5D0EC3A0" w14:textId="77777777" w:rsidR="00120172" w:rsidRDefault="00732EB0">
      <w:pPr>
        <w:pStyle w:val="Standard"/>
      </w:pPr>
      <w:r>
        <w:t>Dersom leverandøren av gyldige grunner ikke kan fremlegge den dokumentasjonen oppdragsgiver har anmodet om, kan han godtgjøre sin økonomiske og finansielle stilling med ethvert annet dokument som oppdragsgiver kan akseptere.</w:t>
      </w:r>
    </w:p>
    <w:p w14:paraId="1A73A918" w14:textId="77777777" w:rsidR="00120172" w:rsidRDefault="00732EB0">
      <w:pPr>
        <w:pStyle w:val="Overskrift3"/>
        <w:numPr>
          <w:ilvl w:val="2"/>
          <w:numId w:val="3"/>
        </w:numPr>
      </w:pPr>
      <w:bookmarkStart w:id="39" w:name="_Toc442434262"/>
      <w:r>
        <w:lastRenderedPageBreak/>
        <w:t>Krav knyttet til leverandørens faglige kvalifikasjoner</w:t>
      </w:r>
      <w:bookmarkEnd w:id="39"/>
    </w:p>
    <w:tbl>
      <w:tblPr>
        <w:tblW w:w="9163" w:type="dxa"/>
        <w:tblInd w:w="-5" w:type="dxa"/>
        <w:tblLayout w:type="fixed"/>
        <w:tblCellMar>
          <w:left w:w="10" w:type="dxa"/>
          <w:right w:w="10" w:type="dxa"/>
        </w:tblCellMar>
        <w:tblLook w:val="04A0" w:firstRow="1" w:lastRow="0" w:firstColumn="1" w:lastColumn="0" w:noHBand="0" w:noVBand="1"/>
      </w:tblPr>
      <w:tblGrid>
        <w:gridCol w:w="3178"/>
        <w:gridCol w:w="5985"/>
      </w:tblGrid>
      <w:tr w:rsidR="00120172" w14:paraId="4B36FEA0" w14:textId="77777777">
        <w:trPr>
          <w:tblHeader/>
        </w:trPr>
        <w:tc>
          <w:tcPr>
            <w:tcW w:w="3178"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622AC619" w14:textId="77777777" w:rsidR="00120172" w:rsidRDefault="00732EB0">
            <w:pPr>
              <w:pStyle w:val="Standard"/>
              <w:keepNext/>
              <w:keepLines/>
            </w:pPr>
            <w:r>
              <w:rPr>
                <w:b/>
                <w:bCs/>
              </w:rPr>
              <w:t>Krav</w:t>
            </w:r>
          </w:p>
        </w:tc>
        <w:tc>
          <w:tcPr>
            <w:tcW w:w="5984"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tcPr>
          <w:p w14:paraId="1DFE98C2" w14:textId="77777777" w:rsidR="00120172" w:rsidRDefault="00732EB0">
            <w:pPr>
              <w:pStyle w:val="Standard"/>
              <w:keepNext/>
              <w:keepLines/>
            </w:pPr>
            <w:r>
              <w:rPr>
                <w:b/>
                <w:bCs/>
              </w:rPr>
              <w:t>Dokumentasjonskrav</w:t>
            </w:r>
          </w:p>
        </w:tc>
      </w:tr>
      <w:tr w:rsidR="00120172" w14:paraId="778A1F2F" w14:textId="77777777">
        <w:tc>
          <w:tcPr>
            <w:tcW w:w="3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D32A27" w14:textId="77777777" w:rsidR="00120172" w:rsidRDefault="00732EB0">
            <w:pPr>
              <w:pStyle w:val="Standard"/>
              <w:keepNext/>
              <w:keepLines/>
            </w:pPr>
            <w:r>
              <w:rPr>
                <w:szCs w:val="20"/>
              </w:rPr>
              <w:t>For inngåelse av tilvisningsavtale og for å få innvilget grunnlån i Husbanken forutsettes det at selskapet driver profesjonell utleie og har som formål å eie, forvalte og leie ut boliger.</w:t>
            </w:r>
          </w:p>
        </w:tc>
        <w:tc>
          <w:tcPr>
            <w:tcW w:w="5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04CE78" w14:textId="77777777" w:rsidR="00120172" w:rsidRDefault="00732EB0">
            <w:pPr>
              <w:pStyle w:val="Standard"/>
              <w:numPr>
                <w:ilvl w:val="0"/>
                <w:numId w:val="25"/>
              </w:numPr>
            </w:pPr>
            <w:r>
              <w:t>Firmaattest</w:t>
            </w:r>
          </w:p>
          <w:p w14:paraId="2271A331" w14:textId="77777777" w:rsidR="00120172" w:rsidRDefault="00732EB0">
            <w:pPr>
              <w:pStyle w:val="Standard"/>
              <w:numPr>
                <w:ilvl w:val="0"/>
                <w:numId w:val="5"/>
              </w:numPr>
            </w:pPr>
            <w:r>
              <w:t>Beskrivelse av foretaket</w:t>
            </w:r>
          </w:p>
          <w:p w14:paraId="7C8E6138" w14:textId="77777777" w:rsidR="00120172" w:rsidRDefault="00120172">
            <w:pPr>
              <w:pStyle w:val="Standard"/>
            </w:pPr>
          </w:p>
          <w:p w14:paraId="7D349A0D" w14:textId="77777777" w:rsidR="00120172" w:rsidRDefault="00120172">
            <w:pPr>
              <w:pStyle w:val="Standard"/>
            </w:pPr>
          </w:p>
          <w:p w14:paraId="6606D689" w14:textId="77777777" w:rsidR="00120172" w:rsidRDefault="00120172">
            <w:pPr>
              <w:pStyle w:val="Standard"/>
            </w:pPr>
          </w:p>
          <w:p w14:paraId="2F6142AD" w14:textId="77777777" w:rsidR="00120172" w:rsidRDefault="00120172">
            <w:pPr>
              <w:pStyle w:val="Standard"/>
            </w:pPr>
          </w:p>
          <w:p w14:paraId="4147B8D2" w14:textId="77777777" w:rsidR="00120172" w:rsidRDefault="00120172">
            <w:pPr>
              <w:pStyle w:val="Listeavsnitt"/>
              <w:ind w:left="360"/>
            </w:pPr>
          </w:p>
        </w:tc>
      </w:tr>
    </w:tbl>
    <w:p w14:paraId="08DB588C" w14:textId="77777777" w:rsidR="00120172" w:rsidRDefault="00732EB0">
      <w:pPr>
        <w:pStyle w:val="Overskrift1"/>
        <w:numPr>
          <w:ilvl w:val="0"/>
          <w:numId w:val="26"/>
        </w:numPr>
      </w:pPr>
      <w:bookmarkStart w:id="40" w:name="_Toc442434263"/>
      <w:r>
        <w:rPr>
          <w:b w:val="0"/>
        </w:rPr>
        <w:t>OPPDRAGSGIVERS BEHANDLING AV TILBUDENE</w:t>
      </w:r>
      <w:bookmarkEnd w:id="40"/>
    </w:p>
    <w:p w14:paraId="61E099BF" w14:textId="77777777" w:rsidR="00120172" w:rsidRDefault="00732EB0">
      <w:pPr>
        <w:pStyle w:val="Overskrift2"/>
        <w:numPr>
          <w:ilvl w:val="1"/>
          <w:numId w:val="3"/>
        </w:numPr>
      </w:pPr>
      <w:bookmarkStart w:id="41" w:name="_Toc201116221"/>
      <w:bookmarkStart w:id="42" w:name="_Toc442434264"/>
      <w:r>
        <w:t>Tildelingskriteriene</w:t>
      </w:r>
      <w:bookmarkEnd w:id="41"/>
      <w:bookmarkEnd w:id="42"/>
    </w:p>
    <w:p w14:paraId="007718A5" w14:textId="77777777" w:rsidR="00120172" w:rsidRDefault="00732EB0">
      <w:pPr>
        <w:pStyle w:val="Standard"/>
        <w:numPr>
          <w:ilvl w:val="0"/>
          <w:numId w:val="27"/>
        </w:numPr>
      </w:pPr>
      <w:r>
        <w:rPr>
          <w:b/>
        </w:rPr>
        <w:t>Tildelingen skjer på basis av helhetsvurdering av følgende kriterier:</w:t>
      </w:r>
    </w:p>
    <w:p w14:paraId="73F926C3" w14:textId="77777777" w:rsidR="00120172" w:rsidRDefault="00120172">
      <w:pPr>
        <w:pStyle w:val="Standard"/>
      </w:pPr>
    </w:p>
    <w:p w14:paraId="38510938" w14:textId="77777777" w:rsidR="00120172" w:rsidRDefault="00732EB0">
      <w:pPr>
        <w:pStyle w:val="Listeavsnitt"/>
        <w:numPr>
          <w:ilvl w:val="0"/>
          <w:numId w:val="28"/>
        </w:numPr>
      </w:pPr>
      <w:r>
        <w:t>Beliggenhet (i forhold til behov for spredning av boliger for vanskeligstilte)</w:t>
      </w:r>
    </w:p>
    <w:p w14:paraId="17DB6A76" w14:textId="77777777" w:rsidR="00120172" w:rsidRDefault="00732EB0">
      <w:pPr>
        <w:pStyle w:val="Listeavsnitt"/>
        <w:numPr>
          <w:ilvl w:val="0"/>
          <w:numId w:val="15"/>
        </w:numPr>
      </w:pPr>
      <w:r>
        <w:t>Boligstandard og planløsning/utforming</w:t>
      </w:r>
    </w:p>
    <w:p w14:paraId="578FDE6C" w14:textId="77777777" w:rsidR="00120172" w:rsidRDefault="00732EB0">
      <w:pPr>
        <w:pStyle w:val="Listeavsnitt"/>
        <w:numPr>
          <w:ilvl w:val="0"/>
          <w:numId w:val="15"/>
        </w:numPr>
      </w:pPr>
      <w:r>
        <w:t>Stipulerte utleiepriser for de enkelte boligstørrelsene</w:t>
      </w:r>
    </w:p>
    <w:p w14:paraId="4554BFDB" w14:textId="77777777" w:rsidR="00120172" w:rsidRDefault="00732EB0">
      <w:pPr>
        <w:pStyle w:val="Listeavsnitt"/>
        <w:numPr>
          <w:ilvl w:val="0"/>
          <w:numId w:val="15"/>
        </w:numPr>
      </w:pPr>
      <w:r>
        <w:t>Boligforvaltning</w:t>
      </w:r>
    </w:p>
    <w:p w14:paraId="5F51209B" w14:textId="77777777" w:rsidR="00120172" w:rsidRDefault="00732EB0">
      <w:pPr>
        <w:pStyle w:val="Listeavsnitt"/>
        <w:numPr>
          <w:ilvl w:val="0"/>
          <w:numId w:val="15"/>
        </w:numPr>
      </w:pPr>
      <w:r>
        <w:t>Levringstid</w:t>
      </w:r>
    </w:p>
    <w:p w14:paraId="465CB14D" w14:textId="77777777" w:rsidR="00292345" w:rsidRDefault="00292345" w:rsidP="00292345">
      <w:pPr>
        <w:pStyle w:val="Listeavsnitt"/>
      </w:pPr>
    </w:p>
    <w:p w14:paraId="6D0AAC63" w14:textId="77777777" w:rsidR="00120172" w:rsidRDefault="00732EB0">
      <w:pPr>
        <w:pStyle w:val="Standard"/>
      </w:pPr>
      <w:r>
        <w:t>Som dokumentasjon på ovennevnte kriterier bes følgende dokumentasjon vedlagt tilbudet:</w:t>
      </w:r>
    </w:p>
    <w:p w14:paraId="4D8454DD" w14:textId="77777777" w:rsidR="00120172" w:rsidRDefault="00120172">
      <w:pPr>
        <w:pStyle w:val="Standard"/>
      </w:pPr>
    </w:p>
    <w:p w14:paraId="68B888B6" w14:textId="77777777" w:rsidR="00120172" w:rsidRDefault="00732EB0">
      <w:pPr>
        <w:pStyle w:val="Listeavsnitt"/>
        <w:numPr>
          <w:ilvl w:val="0"/>
          <w:numId w:val="29"/>
        </w:numPr>
      </w:pPr>
      <w:r>
        <w:t>Prospekt/byggetegninger/beskrivelse/foto</w:t>
      </w:r>
    </w:p>
    <w:p w14:paraId="0A619393" w14:textId="77777777" w:rsidR="00120172" w:rsidRDefault="00732EB0">
      <w:pPr>
        <w:pStyle w:val="Listeavsnitt"/>
        <w:numPr>
          <w:ilvl w:val="0"/>
          <w:numId w:val="16"/>
        </w:numPr>
      </w:pPr>
      <w:r>
        <w:t>Organisasjonsbeskrivelse, inkl. tilbudte ressurser</w:t>
      </w:r>
    </w:p>
    <w:p w14:paraId="5C671FA1" w14:textId="77777777" w:rsidR="00120172" w:rsidRDefault="00732EB0">
      <w:pPr>
        <w:pStyle w:val="Overskrift2"/>
        <w:numPr>
          <w:ilvl w:val="1"/>
          <w:numId w:val="3"/>
        </w:numPr>
      </w:pPr>
      <w:bookmarkStart w:id="43" w:name="_Toc201116222"/>
      <w:bookmarkStart w:id="44" w:name="_Toc442434265"/>
      <w:r>
        <w:t xml:space="preserve">Tildeling av kontrakt, begrunnelse og </w:t>
      </w:r>
      <w:bookmarkEnd w:id="43"/>
      <w:r>
        <w:t>karensperiode</w:t>
      </w:r>
      <w:bookmarkEnd w:id="44"/>
    </w:p>
    <w:p w14:paraId="7B354A49" w14:textId="77777777" w:rsidR="00120172" w:rsidRDefault="00732EB0">
      <w:pPr>
        <w:pStyle w:val="Standard"/>
      </w:pPr>
      <w:r>
        <w:t>Leverandører som har deltatt i konkurransen vil få en skriftlig tilbakemelding om hvem oppdragsgiver vil inngå kontrakt med og begrunnelse for valget.</w:t>
      </w:r>
    </w:p>
    <w:p w14:paraId="466FDAD0" w14:textId="77777777" w:rsidR="00120172" w:rsidRDefault="00120172">
      <w:pPr>
        <w:pStyle w:val="Standard"/>
      </w:pPr>
    </w:p>
    <w:p w14:paraId="4C2A46FC" w14:textId="77777777" w:rsidR="00120172" w:rsidRDefault="00120172">
      <w:pPr>
        <w:pStyle w:val="Standard"/>
      </w:pPr>
    </w:p>
    <w:p w14:paraId="0CF22132" w14:textId="77777777" w:rsidR="00120172" w:rsidRDefault="00120172">
      <w:pPr>
        <w:pStyle w:val="Standard"/>
      </w:pPr>
    </w:p>
    <w:p w14:paraId="3FF02101" w14:textId="77777777" w:rsidR="00120172" w:rsidRDefault="00732EB0">
      <w:pPr>
        <w:pStyle w:val="Standard"/>
        <w:jc w:val="center"/>
      </w:pPr>
      <w:r>
        <w:t>* * *</w:t>
      </w:r>
    </w:p>
    <w:p w14:paraId="7A2EF2C9" w14:textId="77777777" w:rsidR="00120172" w:rsidRDefault="00120172">
      <w:pPr>
        <w:pStyle w:val="Standard"/>
      </w:pPr>
    </w:p>
    <w:p w14:paraId="7624F789" w14:textId="77777777" w:rsidR="00120172" w:rsidRDefault="00120172">
      <w:pPr>
        <w:pStyle w:val="Standard"/>
      </w:pPr>
    </w:p>
    <w:p w14:paraId="03393FFB" w14:textId="77777777" w:rsidR="00120172" w:rsidRDefault="00120172">
      <w:pPr>
        <w:pStyle w:val="Standard"/>
      </w:pPr>
    </w:p>
    <w:p w14:paraId="46582160" w14:textId="77777777" w:rsidR="00120172" w:rsidRDefault="00120172">
      <w:pPr>
        <w:pStyle w:val="Standard"/>
      </w:pPr>
    </w:p>
    <w:p w14:paraId="3E054BA0" w14:textId="77777777" w:rsidR="00120172" w:rsidRDefault="00120172">
      <w:pPr>
        <w:pStyle w:val="Standard"/>
        <w:keepNext/>
        <w:spacing w:before="480" w:after="60"/>
        <w:outlineLvl w:val="0"/>
      </w:pPr>
    </w:p>
    <w:sectPr w:rsidR="00120172">
      <w:headerReference w:type="default" r:id="rId14"/>
      <w:footerReference w:type="default" r:id="rId15"/>
      <w:headerReference w:type="first" r:id="rId16"/>
      <w:footerReference w:type="first" r:id="rId17"/>
      <w:pgSz w:w="11906" w:h="16838"/>
      <w:pgMar w:top="1440"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7BDE" w14:textId="77777777" w:rsidR="00571516" w:rsidRDefault="00732EB0">
      <w:r>
        <w:separator/>
      </w:r>
    </w:p>
  </w:endnote>
  <w:endnote w:type="continuationSeparator" w:id="0">
    <w:p w14:paraId="37E64743" w14:textId="77777777" w:rsidR="00571516" w:rsidRDefault="0073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DejaVu Sans">
    <w:charset w:val="00"/>
    <w:family w:val="auto"/>
    <w:pitch w:val="variable"/>
  </w:font>
  <w:font w:name="DepCentury Old Style">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44E1" w14:textId="77777777" w:rsidR="006A79AF" w:rsidRDefault="00732EB0">
    <w:pPr>
      <w:pStyle w:val="Bunntekst"/>
      <w:pBdr>
        <w:top w:val="single" w:sz="4" w:space="1" w:color="00000A"/>
      </w:pBdr>
      <w:ind w:right="360"/>
    </w:pPr>
    <w:r>
      <w:tab/>
    </w:r>
    <w:r>
      <w:rPr>
        <w:rStyle w:val="Sidetall"/>
      </w:rPr>
      <w:fldChar w:fldCharType="begin"/>
    </w:r>
    <w:r>
      <w:rPr>
        <w:rStyle w:val="Sidetall"/>
      </w:rPr>
      <w:instrText xml:space="preserve"> PAGE </w:instrText>
    </w:r>
    <w:r>
      <w:rPr>
        <w:rStyle w:val="Sidetall"/>
      </w:rPr>
      <w:fldChar w:fldCharType="separate"/>
    </w:r>
    <w:r w:rsidR="004C47C4">
      <w:rPr>
        <w:rStyle w:val="Sidetall"/>
        <w:noProof/>
      </w:rPr>
      <w:t>4</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BD00" w14:textId="77777777" w:rsidR="006A79AF" w:rsidRDefault="00880A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2D7C" w14:textId="77777777" w:rsidR="00571516" w:rsidRDefault="00732EB0">
      <w:r>
        <w:rPr>
          <w:color w:val="000000"/>
        </w:rPr>
        <w:separator/>
      </w:r>
    </w:p>
  </w:footnote>
  <w:footnote w:type="continuationSeparator" w:id="0">
    <w:p w14:paraId="75E1B666" w14:textId="77777777" w:rsidR="00571516" w:rsidRDefault="0073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00D9" w14:textId="77777777" w:rsidR="006A79AF" w:rsidRDefault="00880A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2A7E" w14:textId="77777777" w:rsidR="006A79AF" w:rsidRDefault="00880AC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078DA"/>
    <w:multiLevelType w:val="multilevel"/>
    <w:tmpl w:val="11D6B272"/>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9F8761E"/>
    <w:multiLevelType w:val="multilevel"/>
    <w:tmpl w:val="46FEFB6A"/>
    <w:styleLink w:val="WWNum1"/>
    <w:lvl w:ilvl="0">
      <w:start w:val="1"/>
      <w:numFmt w:val="decimal"/>
      <w:lvlText w:val="%1"/>
      <w:lvlJc w:val="left"/>
      <w:rPr>
        <w:rFonts w:cs="Times New Roman"/>
      </w:rPr>
    </w:lvl>
    <w:lvl w:ilvl="1">
      <w:start w:val="1"/>
      <w:numFmt w:val="decimal"/>
      <w:lvlText w:val="%1.%2"/>
      <w:lvlJc w:val="left"/>
      <w:rPr>
        <w:rFonts w:cs="Times New Roman"/>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1D767896"/>
    <w:multiLevelType w:val="multilevel"/>
    <w:tmpl w:val="C94E5D6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42D0B2D"/>
    <w:multiLevelType w:val="multilevel"/>
    <w:tmpl w:val="E42C10EC"/>
    <w:styleLink w:val="WWNum1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6F06C77"/>
    <w:multiLevelType w:val="multilevel"/>
    <w:tmpl w:val="DE863C44"/>
    <w:styleLink w:val="WWOutlineListStyle"/>
    <w:lvl w:ilvl="0">
      <w:start w:val="1"/>
      <w:numFmt w:val="decimal"/>
      <w:pStyle w:val="Overskrift1"/>
      <w:lvlText w:val="%1"/>
      <w:lvlJc w:val="left"/>
      <w:rPr>
        <w:rFonts w:cs="Times New Roman"/>
      </w:rPr>
    </w:lvl>
    <w:lvl w:ilvl="1">
      <w:start w:val="1"/>
      <w:numFmt w:val="decimal"/>
      <w:pStyle w:val="Overskrift2"/>
      <w:lvlText w:val="%1.%2"/>
      <w:lvlJc w:val="left"/>
      <w:rPr>
        <w:rFonts w:cs="Times New Roman"/>
        <w:sz w:val="28"/>
        <w:szCs w:val="28"/>
      </w:rPr>
    </w:lvl>
    <w:lvl w:ilvl="2">
      <w:start w:val="1"/>
      <w:numFmt w:val="decimal"/>
      <w:pStyle w:val="Overskrift3"/>
      <w:lvlText w:val="%1.%2.%3"/>
      <w:lvlJc w:val="left"/>
      <w:rPr>
        <w:rFonts w:cs="Times New Roman"/>
      </w:rPr>
    </w:lvl>
    <w:lvl w:ilvl="3">
      <w:start w:val="1"/>
      <w:numFmt w:val="decimal"/>
      <w:pStyle w:val="Overskrift4"/>
      <w:lvlText w:val="%1.%2.%3.%4"/>
      <w:lvlJc w:val="left"/>
      <w:rPr>
        <w:rFonts w:cs="Times New Roman"/>
      </w:rPr>
    </w:lvl>
    <w:lvl w:ilvl="4">
      <w:start w:val="1"/>
      <w:numFmt w:val="decimal"/>
      <w:pStyle w:val="Overskrift5"/>
      <w:lvlText w:val="%1.%2.%3.%4.%5"/>
      <w:lvlJc w:val="left"/>
      <w:rPr>
        <w:rFonts w:cs="Times New Roman"/>
      </w:rPr>
    </w:lvl>
    <w:lvl w:ilvl="5">
      <w:start w:val="1"/>
      <w:numFmt w:val="decimal"/>
      <w:pStyle w:val="Overskrift6"/>
      <w:lvlText w:val="%1.%2.%3.%4.%5.%6"/>
      <w:lvlJc w:val="left"/>
      <w:rPr>
        <w:rFonts w:cs="Times New Roman"/>
      </w:rPr>
    </w:lvl>
    <w:lvl w:ilvl="6">
      <w:start w:val="1"/>
      <w:numFmt w:val="decimal"/>
      <w:pStyle w:val="Overskrift7"/>
      <w:lvlText w:val="%1.%2.%3.%4.%5.%6.%7"/>
      <w:lvlJc w:val="left"/>
      <w:rPr>
        <w:rFonts w:cs="Times New Roman"/>
      </w:rPr>
    </w:lvl>
    <w:lvl w:ilvl="7">
      <w:start w:val="1"/>
      <w:numFmt w:val="decimal"/>
      <w:pStyle w:val="Overskrift8"/>
      <w:lvlText w:val="%1.%2.%3.%4.%5.%6.%7.%8"/>
      <w:lvlJc w:val="left"/>
      <w:rPr>
        <w:rFonts w:cs="Times New Roman"/>
      </w:rPr>
    </w:lvl>
    <w:lvl w:ilvl="8">
      <w:start w:val="1"/>
      <w:numFmt w:val="decimal"/>
      <w:pStyle w:val="Overskrift9"/>
      <w:lvlText w:val="%1.%2.%3.%4.%5.%6.%7.%8.%9"/>
      <w:lvlJc w:val="left"/>
      <w:rPr>
        <w:rFonts w:cs="Times New Roman"/>
      </w:rPr>
    </w:lvl>
  </w:abstractNum>
  <w:abstractNum w:abstractNumId="5" w15:restartNumberingAfterBreak="0">
    <w:nsid w:val="2A8850B7"/>
    <w:multiLevelType w:val="multilevel"/>
    <w:tmpl w:val="896A22E6"/>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2435FCD"/>
    <w:multiLevelType w:val="multilevel"/>
    <w:tmpl w:val="2AE27C9E"/>
    <w:styleLink w:val="Ingen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CA3FC7"/>
    <w:multiLevelType w:val="multilevel"/>
    <w:tmpl w:val="DD9EA84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EA73D53"/>
    <w:multiLevelType w:val="multilevel"/>
    <w:tmpl w:val="B9903D54"/>
    <w:styleLink w:val="WWNum11"/>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43BA69F8"/>
    <w:multiLevelType w:val="multilevel"/>
    <w:tmpl w:val="40D0CB4C"/>
    <w:styleLink w:val="WWNum9"/>
    <w:lvl w:ilvl="0">
      <w:start w:val="1"/>
      <w:numFmt w:val="decimal"/>
      <w:lvlText w:val="%1"/>
      <w:lvlJc w:val="left"/>
      <w:rPr>
        <w:rFonts w:cs="Times New Roman"/>
      </w:rPr>
    </w:lvl>
    <w:lvl w:ilvl="1">
      <w:start w:val="1"/>
      <w:numFmt w:val="decimal"/>
      <w:lvlText w:val="%1.%2"/>
      <w:lvlJc w:val="left"/>
      <w:rPr>
        <w:rFonts w:cs="Times New Roman"/>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48CF5FE6"/>
    <w:multiLevelType w:val="multilevel"/>
    <w:tmpl w:val="95D49228"/>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527E7E84"/>
    <w:multiLevelType w:val="multilevel"/>
    <w:tmpl w:val="C78CF50C"/>
    <w:styleLink w:val="WWNum1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2B95069"/>
    <w:multiLevelType w:val="multilevel"/>
    <w:tmpl w:val="41E0AE34"/>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15:restartNumberingAfterBreak="0">
    <w:nsid w:val="55F319CA"/>
    <w:multiLevelType w:val="multilevel"/>
    <w:tmpl w:val="09B6F39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87D6F7C"/>
    <w:multiLevelType w:val="multilevel"/>
    <w:tmpl w:val="678024B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6B80684A"/>
    <w:multiLevelType w:val="multilevel"/>
    <w:tmpl w:val="5016DCBC"/>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A0854A6"/>
    <w:multiLevelType w:val="multilevel"/>
    <w:tmpl w:val="7D1030A4"/>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6"/>
  </w:num>
  <w:num w:numId="3">
    <w:abstractNumId w:val="1"/>
  </w:num>
  <w:num w:numId="4">
    <w:abstractNumId w:val="15"/>
  </w:num>
  <w:num w:numId="5">
    <w:abstractNumId w:val="14"/>
  </w:num>
  <w:num w:numId="6">
    <w:abstractNumId w:val="16"/>
  </w:num>
  <w:num w:numId="7">
    <w:abstractNumId w:val="5"/>
  </w:num>
  <w:num w:numId="8">
    <w:abstractNumId w:val="2"/>
  </w:num>
  <w:num w:numId="9">
    <w:abstractNumId w:val="10"/>
  </w:num>
  <w:num w:numId="10">
    <w:abstractNumId w:val="13"/>
  </w:num>
  <w:num w:numId="11">
    <w:abstractNumId w:val="9"/>
  </w:num>
  <w:num w:numId="12">
    <w:abstractNumId w:val="12"/>
  </w:num>
  <w:num w:numId="13">
    <w:abstractNumId w:val="8"/>
  </w:num>
  <w:num w:numId="14">
    <w:abstractNumId w:val="0"/>
  </w:num>
  <w:num w:numId="15">
    <w:abstractNumId w:val="3"/>
  </w:num>
  <w:num w:numId="16">
    <w:abstractNumId w:val="11"/>
  </w:num>
  <w:num w:numId="17">
    <w:abstractNumId w:val="7"/>
  </w:num>
  <w:num w:numId="18">
    <w:abstractNumId w:val="1"/>
    <w:lvlOverride w:ilvl="0">
      <w:startOverride w:val="1"/>
    </w:lvlOverride>
  </w:num>
  <w:num w:numId="19">
    <w:abstractNumId w:val="7"/>
  </w:num>
  <w:num w:numId="20">
    <w:abstractNumId w:val="14"/>
  </w:num>
  <w:num w:numId="21">
    <w:abstractNumId w:val="14"/>
  </w:num>
  <w:num w:numId="22">
    <w:abstractNumId w:val="15"/>
  </w:num>
  <w:num w:numId="23">
    <w:abstractNumId w:val="14"/>
  </w:num>
  <w:num w:numId="24">
    <w:abstractNumId w:val="14"/>
  </w:num>
  <w:num w:numId="25">
    <w:abstractNumId w:val="14"/>
  </w:num>
  <w:num w:numId="26">
    <w:abstractNumId w:val="1"/>
    <w:lvlOverride w:ilvl="0">
      <w:startOverride w:val="1"/>
    </w:lvlOverride>
  </w:num>
  <w:num w:numId="27">
    <w:abstractNumId w:val="14"/>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72"/>
    <w:rsid w:val="000A4CB9"/>
    <w:rsid w:val="000C5237"/>
    <w:rsid w:val="000C6E25"/>
    <w:rsid w:val="00120172"/>
    <w:rsid w:val="001C2A3C"/>
    <w:rsid w:val="00292345"/>
    <w:rsid w:val="00296C1A"/>
    <w:rsid w:val="002B62A3"/>
    <w:rsid w:val="0047455D"/>
    <w:rsid w:val="004C47C4"/>
    <w:rsid w:val="004E0B8B"/>
    <w:rsid w:val="00571516"/>
    <w:rsid w:val="005974F4"/>
    <w:rsid w:val="0060585D"/>
    <w:rsid w:val="007076F6"/>
    <w:rsid w:val="00732EB0"/>
    <w:rsid w:val="00880ACF"/>
    <w:rsid w:val="00940B2F"/>
    <w:rsid w:val="00A56122"/>
    <w:rsid w:val="00C24BE4"/>
    <w:rsid w:val="00C576CF"/>
    <w:rsid w:val="00CA3DA8"/>
    <w:rsid w:val="00CC0385"/>
    <w:rsid w:val="00D67F10"/>
    <w:rsid w:val="00DC494F"/>
    <w:rsid w:val="00E574DD"/>
    <w:rsid w:val="00EB3E6B"/>
    <w:rsid w:val="00F25B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AE97"/>
  <w15:docId w15:val="{1DA9313C-EA6C-400E-9F0B-0999E0F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lang w:val="nb-NO" w:eastAsia="nb-NO"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Standard"/>
    <w:next w:val="Standard"/>
    <w:pPr>
      <w:keepNext/>
      <w:numPr>
        <w:numId w:val="1"/>
      </w:numPr>
      <w:spacing w:before="480" w:after="60"/>
      <w:outlineLvl w:val="0"/>
    </w:pPr>
    <w:rPr>
      <w:rFonts w:cs="Arial"/>
      <w:b/>
      <w:bCs/>
      <w:caps/>
      <w:sz w:val="28"/>
      <w:szCs w:val="32"/>
    </w:rPr>
  </w:style>
  <w:style w:type="paragraph" w:styleId="Overskrift2">
    <w:name w:val="heading 2"/>
    <w:basedOn w:val="Standard"/>
    <w:next w:val="Standard"/>
    <w:pPr>
      <w:keepNext/>
      <w:numPr>
        <w:ilvl w:val="1"/>
        <w:numId w:val="1"/>
      </w:numPr>
      <w:spacing w:before="240" w:after="60"/>
      <w:outlineLvl w:val="1"/>
    </w:pPr>
    <w:rPr>
      <w:rFonts w:cs="Arial"/>
      <w:b/>
      <w:bCs/>
      <w:iCs/>
      <w:sz w:val="28"/>
      <w:szCs w:val="28"/>
    </w:rPr>
  </w:style>
  <w:style w:type="paragraph" w:styleId="Overskrift3">
    <w:name w:val="heading 3"/>
    <w:basedOn w:val="Standard"/>
    <w:next w:val="Standard"/>
    <w:pPr>
      <w:keepNext/>
      <w:numPr>
        <w:ilvl w:val="2"/>
        <w:numId w:val="1"/>
      </w:numPr>
      <w:spacing w:before="240" w:after="60"/>
      <w:outlineLvl w:val="2"/>
    </w:pPr>
    <w:rPr>
      <w:rFonts w:cs="Arial"/>
      <w:b/>
      <w:bCs/>
      <w:szCs w:val="26"/>
    </w:rPr>
  </w:style>
  <w:style w:type="paragraph" w:styleId="Overskrift4">
    <w:name w:val="heading 4"/>
    <w:basedOn w:val="Standard"/>
    <w:next w:val="Standard"/>
    <w:pPr>
      <w:keepNext/>
      <w:numPr>
        <w:ilvl w:val="3"/>
        <w:numId w:val="1"/>
      </w:numPr>
      <w:outlineLvl w:val="3"/>
    </w:pPr>
    <w:rPr>
      <w:b/>
      <w:bCs/>
    </w:rPr>
  </w:style>
  <w:style w:type="paragraph" w:styleId="Overskrift5">
    <w:name w:val="heading 5"/>
    <w:basedOn w:val="Standard"/>
    <w:next w:val="Standard"/>
    <w:pPr>
      <w:numPr>
        <w:ilvl w:val="4"/>
        <w:numId w:val="1"/>
      </w:numPr>
      <w:spacing w:before="240" w:after="60"/>
      <w:outlineLvl w:val="4"/>
    </w:pPr>
    <w:rPr>
      <w:b/>
      <w:bCs/>
      <w:i/>
      <w:iCs/>
      <w:sz w:val="26"/>
      <w:szCs w:val="26"/>
    </w:rPr>
  </w:style>
  <w:style w:type="paragraph" w:styleId="Overskrift6">
    <w:name w:val="heading 6"/>
    <w:basedOn w:val="Standard"/>
    <w:next w:val="Standard"/>
    <w:pPr>
      <w:numPr>
        <w:ilvl w:val="5"/>
        <w:numId w:val="1"/>
      </w:numPr>
      <w:spacing w:before="240" w:after="60"/>
      <w:outlineLvl w:val="5"/>
    </w:pPr>
    <w:rPr>
      <w:b/>
      <w:bCs/>
      <w:sz w:val="22"/>
      <w:szCs w:val="22"/>
    </w:rPr>
  </w:style>
  <w:style w:type="paragraph" w:styleId="Overskrift7">
    <w:name w:val="heading 7"/>
    <w:basedOn w:val="Standard"/>
    <w:next w:val="Standard"/>
    <w:pPr>
      <w:numPr>
        <w:ilvl w:val="6"/>
        <w:numId w:val="1"/>
      </w:numPr>
      <w:spacing w:before="240" w:after="60"/>
      <w:outlineLvl w:val="6"/>
    </w:pPr>
  </w:style>
  <w:style w:type="paragraph" w:styleId="Overskrift8">
    <w:name w:val="heading 8"/>
    <w:basedOn w:val="Standard"/>
    <w:next w:val="Standard"/>
    <w:pPr>
      <w:numPr>
        <w:ilvl w:val="7"/>
        <w:numId w:val="1"/>
      </w:numPr>
      <w:spacing w:before="240" w:after="60"/>
      <w:outlineLvl w:val="7"/>
    </w:pPr>
    <w:rPr>
      <w:i/>
      <w:iCs/>
    </w:rPr>
  </w:style>
  <w:style w:type="paragraph" w:styleId="Overskrift9">
    <w:name w:val="heading 9"/>
    <w:basedOn w:val="Standard"/>
    <w:next w:val="Standard"/>
    <w:pPr>
      <w:numPr>
        <w:ilvl w:val="8"/>
        <w:numId w:val="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
    <w:name w:val="WW_OutlineListStyle"/>
    <w:basedOn w:val="Ingenliste"/>
    <w:pPr>
      <w:numPr>
        <w:numId w:val="1"/>
      </w:numPr>
    </w:pPr>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line="300" w:lineRule="atLeast"/>
    </w:pPr>
    <w:rPr>
      <w:rFonts w:ascii="DepCentury Old Style" w:hAnsi="DepCentury Old Style"/>
      <w:sz w:val="22"/>
      <w:szCs w:val="20"/>
    </w:rPr>
  </w:style>
  <w:style w:type="paragraph" w:styleId="Liste">
    <w:name w:val="List"/>
    <w:basedOn w:val="Textbody"/>
    <w:rPr>
      <w:sz w:val="24"/>
    </w:rPr>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obletekst">
    <w:name w:val="Balloon Text"/>
    <w:basedOn w:val="Standard"/>
    <w:rPr>
      <w:rFonts w:ascii="Tahoma" w:hAnsi="Tahoma" w:cs="Tahoma"/>
      <w:sz w:val="16"/>
      <w:szCs w:val="16"/>
    </w:rPr>
  </w:style>
  <w:style w:type="paragraph" w:styleId="Merknadstekst">
    <w:name w:val="annotation text"/>
    <w:basedOn w:val="Standard"/>
    <w:rPr>
      <w:sz w:val="20"/>
      <w:szCs w:val="20"/>
    </w:rPr>
  </w:style>
  <w:style w:type="paragraph" w:styleId="Topptekst">
    <w:name w:val="header"/>
    <w:basedOn w:val="Standard"/>
    <w:pPr>
      <w:tabs>
        <w:tab w:val="center" w:pos="4536"/>
        <w:tab w:val="right" w:pos="9072"/>
      </w:tabs>
    </w:pPr>
    <w:rPr>
      <w:szCs w:val="20"/>
    </w:rPr>
  </w:style>
  <w:style w:type="paragraph" w:styleId="Sluttnotetekst">
    <w:name w:val="endnote text"/>
    <w:basedOn w:val="Standard"/>
    <w:rPr>
      <w:szCs w:val="20"/>
    </w:rPr>
  </w:style>
  <w:style w:type="paragraph" w:styleId="Bunntekst">
    <w:name w:val="footer"/>
    <w:basedOn w:val="Standard"/>
    <w:pPr>
      <w:tabs>
        <w:tab w:val="center" w:pos="4536"/>
        <w:tab w:val="right" w:pos="9072"/>
      </w:tabs>
    </w:pPr>
  </w:style>
  <w:style w:type="paragraph" w:styleId="Kommentaremne">
    <w:name w:val="annotation subject"/>
    <w:basedOn w:val="Merknadstekst"/>
    <w:rPr>
      <w:b/>
      <w:bCs/>
    </w:rPr>
  </w:style>
  <w:style w:type="paragraph" w:customStyle="1" w:styleId="CharCharCharTegnCharCharCharCharCharTegnCharCharCharTegn">
    <w:name w:val="Char Char Char Tegn Char Char Char Char Char Tegn Char Char Char Tegn"/>
    <w:basedOn w:val="Standard"/>
    <w:pPr>
      <w:spacing w:after="160" w:line="240" w:lineRule="exact"/>
    </w:pPr>
    <w:rPr>
      <w:rFonts w:ascii="Verdana" w:hAnsi="Verdana"/>
      <w:sz w:val="20"/>
      <w:szCs w:val="20"/>
      <w:lang w:val="en-US" w:eastAsia="en-US"/>
    </w:rPr>
  </w:style>
  <w:style w:type="paragraph" w:customStyle="1" w:styleId="p7">
    <w:name w:val="p7"/>
    <w:basedOn w:val="Standard"/>
    <w:pPr>
      <w:widowControl w:val="0"/>
      <w:spacing w:line="240" w:lineRule="atLeast"/>
      <w:ind w:left="920"/>
      <w:jc w:val="both"/>
    </w:pPr>
    <w:rPr>
      <w:szCs w:val="20"/>
    </w:rPr>
  </w:style>
  <w:style w:type="paragraph" w:customStyle="1" w:styleId="Textbodyindent">
    <w:name w:val="Text body indent"/>
    <w:basedOn w:val="Standard"/>
    <w:pPr>
      <w:spacing w:after="120"/>
      <w:ind w:left="283"/>
    </w:pPr>
    <w:rPr>
      <w:szCs w:val="20"/>
    </w:rPr>
  </w:style>
  <w:style w:type="paragraph" w:customStyle="1" w:styleId="Contents1">
    <w:name w:val="Contents 1"/>
    <w:basedOn w:val="Standard"/>
    <w:next w:val="Standard"/>
    <w:autoRedefine/>
    <w:pPr>
      <w:tabs>
        <w:tab w:val="left" w:pos="480"/>
        <w:tab w:val="right" w:leader="dot" w:pos="9060"/>
      </w:tabs>
    </w:pPr>
    <w:rPr>
      <w:b/>
    </w:rPr>
  </w:style>
  <w:style w:type="paragraph" w:customStyle="1" w:styleId="Contents2">
    <w:name w:val="Contents 2"/>
    <w:basedOn w:val="Standard"/>
    <w:next w:val="Standard"/>
    <w:autoRedefine/>
    <w:rsid w:val="000C5237"/>
    <w:pPr>
      <w:tabs>
        <w:tab w:val="right" w:leader="dot" w:pos="1120"/>
        <w:tab w:val="right" w:leader="dot" w:pos="9072"/>
      </w:tabs>
      <w:spacing w:after="120"/>
      <w:ind w:left="238"/>
    </w:pPr>
  </w:style>
  <w:style w:type="paragraph" w:customStyle="1" w:styleId="Contents3">
    <w:name w:val="Contents 3"/>
    <w:basedOn w:val="Standard"/>
    <w:next w:val="Standard"/>
    <w:autoRedefine/>
    <w:pPr>
      <w:ind w:left="480"/>
    </w:pPr>
  </w:style>
  <w:style w:type="paragraph" w:customStyle="1" w:styleId="CharCharCharTegnCharCharCharCharCharTegnCharCharCharTegn1">
    <w:name w:val="Char Char Char Tegn Char Char Char Char Char Tegn Char Char Char Tegn1"/>
    <w:basedOn w:val="Standard"/>
    <w:pPr>
      <w:spacing w:after="160" w:line="240" w:lineRule="exact"/>
    </w:pPr>
    <w:rPr>
      <w:rFonts w:ascii="Verdana" w:hAnsi="Verdana"/>
      <w:sz w:val="20"/>
      <w:szCs w:val="20"/>
      <w:lang w:val="en-US" w:eastAsia="en-US"/>
    </w:rPr>
  </w:style>
  <w:style w:type="paragraph" w:customStyle="1" w:styleId="Default">
    <w:name w:val="Default"/>
    <w:pPr>
      <w:widowControl/>
    </w:pPr>
    <w:rPr>
      <w:color w:val="000000"/>
      <w:szCs w:val="24"/>
    </w:rPr>
  </w:style>
  <w:style w:type="paragraph" w:styleId="NormalWeb">
    <w:name w:val="Normal (Web)"/>
    <w:basedOn w:val="Standard"/>
    <w:pPr>
      <w:spacing w:before="280" w:after="280"/>
    </w:pPr>
  </w:style>
  <w:style w:type="paragraph" w:styleId="Listeavsnitt">
    <w:name w:val="List Paragraph"/>
    <w:basedOn w:val="Standard"/>
    <w:pPr>
      <w:ind w:left="720"/>
    </w:pPr>
  </w:style>
  <w:style w:type="character" w:customStyle="1" w:styleId="Overskrift1Tegn">
    <w:name w:val="Overskrift 1 Tegn"/>
    <w:rPr>
      <w:rFonts w:cs="Arial"/>
      <w:b/>
      <w:bCs/>
      <w:caps/>
      <w:kern w:val="3"/>
      <w:sz w:val="28"/>
      <w:szCs w:val="32"/>
    </w:rPr>
  </w:style>
  <w:style w:type="character" w:customStyle="1" w:styleId="Overskrift2Tegn">
    <w:name w:val="Overskrift 2 Tegn"/>
    <w:rPr>
      <w:rFonts w:cs="Arial"/>
      <w:b/>
      <w:bCs/>
      <w:iCs/>
      <w:sz w:val="28"/>
      <w:szCs w:val="28"/>
    </w:rPr>
  </w:style>
  <w:style w:type="character" w:customStyle="1" w:styleId="Overskrift3Tegn">
    <w:name w:val="Overskrift 3 Tegn"/>
    <w:rPr>
      <w:rFonts w:cs="Arial"/>
      <w:b/>
      <w:bCs/>
      <w:sz w:val="24"/>
      <w:szCs w:val="26"/>
    </w:rPr>
  </w:style>
  <w:style w:type="character" w:customStyle="1" w:styleId="Overskrift4Tegn">
    <w:name w:val="Overskrift 4 Tegn"/>
    <w:rPr>
      <w:b/>
      <w:bCs/>
      <w:sz w:val="24"/>
      <w:szCs w:val="24"/>
    </w:rPr>
  </w:style>
  <w:style w:type="character" w:customStyle="1" w:styleId="Overskrift5Tegn">
    <w:name w:val="Overskrift 5 Tegn"/>
    <w:rPr>
      <w:b/>
      <w:bCs/>
      <w:i/>
      <w:iCs/>
      <w:sz w:val="26"/>
      <w:szCs w:val="26"/>
    </w:rPr>
  </w:style>
  <w:style w:type="character" w:customStyle="1" w:styleId="Overskrift6Tegn">
    <w:name w:val="Overskrift 6 Tegn"/>
    <w:rPr>
      <w:b/>
      <w:bCs/>
      <w:sz w:val="22"/>
      <w:szCs w:val="22"/>
    </w:rPr>
  </w:style>
  <w:style w:type="character" w:customStyle="1" w:styleId="Overskrift7Tegn">
    <w:name w:val="Overskrift 7 Tegn"/>
    <w:rPr>
      <w:sz w:val="24"/>
      <w:szCs w:val="24"/>
    </w:rPr>
  </w:style>
  <w:style w:type="character" w:customStyle="1" w:styleId="Overskrift8Tegn">
    <w:name w:val="Overskrift 8 Tegn"/>
    <w:rPr>
      <w:i/>
      <w:iCs/>
      <w:sz w:val="24"/>
      <w:szCs w:val="24"/>
    </w:rPr>
  </w:style>
  <w:style w:type="character" w:customStyle="1" w:styleId="Overskrift9Tegn">
    <w:name w:val="Overskrift 9 Tegn"/>
    <w:rPr>
      <w:rFonts w:ascii="Arial" w:hAnsi="Arial" w:cs="Arial"/>
      <w:sz w:val="22"/>
      <w:szCs w:val="22"/>
    </w:rPr>
  </w:style>
  <w:style w:type="character" w:customStyle="1" w:styleId="BobletekstTegn">
    <w:name w:val="Bobletekst Tegn"/>
    <w:rPr>
      <w:rFonts w:cs="Times New Roman"/>
      <w:sz w:val="2"/>
    </w:rPr>
  </w:style>
  <w:style w:type="character" w:styleId="Merknadsreferanse">
    <w:name w:val="annotation reference"/>
    <w:rPr>
      <w:rFonts w:cs="Times New Roman"/>
      <w:sz w:val="16"/>
      <w:szCs w:val="16"/>
    </w:rPr>
  </w:style>
  <w:style w:type="character" w:customStyle="1" w:styleId="MerknadstekstTegn">
    <w:name w:val="Merknadstekst Tegn"/>
    <w:rPr>
      <w:rFonts w:cs="Times New Roman"/>
    </w:rPr>
  </w:style>
  <w:style w:type="character" w:customStyle="1" w:styleId="Internetlink">
    <w:name w:val="Internet link"/>
    <w:rPr>
      <w:rFonts w:cs="Times New Roman"/>
      <w:color w:val="0000FF"/>
      <w:u w:val="single"/>
    </w:rPr>
  </w:style>
  <w:style w:type="character" w:customStyle="1" w:styleId="TopptekstTegn">
    <w:name w:val="Topptekst Tegn"/>
    <w:rPr>
      <w:rFonts w:cs="Times New Roman"/>
      <w:sz w:val="24"/>
      <w:szCs w:val="24"/>
    </w:rPr>
  </w:style>
  <w:style w:type="character" w:customStyle="1" w:styleId="SluttnotetekstTegn">
    <w:name w:val="Sluttnotetekst Tegn"/>
    <w:rPr>
      <w:rFonts w:cs="Times New Roman"/>
    </w:rPr>
  </w:style>
  <w:style w:type="character" w:customStyle="1" w:styleId="BunntekstTegn">
    <w:name w:val="Bunntekst Tegn"/>
    <w:rPr>
      <w:rFonts w:cs="Times New Roman"/>
      <w:sz w:val="24"/>
      <w:szCs w:val="24"/>
    </w:rPr>
  </w:style>
  <w:style w:type="character" w:styleId="Sidetall">
    <w:name w:val="page number"/>
    <w:rPr>
      <w:rFonts w:cs="Times New Roman"/>
    </w:rPr>
  </w:style>
  <w:style w:type="character" w:customStyle="1" w:styleId="KommentaremneTegn">
    <w:name w:val="Kommentaremne Tegn"/>
    <w:rPr>
      <w:rFonts w:cs="Times New Roman"/>
      <w:b/>
      <w:bCs/>
    </w:rPr>
  </w:style>
  <w:style w:type="character" w:styleId="Fulgthyperkobling">
    <w:name w:val="FollowedHyperlink"/>
    <w:rPr>
      <w:rFonts w:cs="Times New Roman"/>
      <w:color w:val="800080"/>
      <w:u w:val="single"/>
    </w:rPr>
  </w:style>
  <w:style w:type="character" w:customStyle="1" w:styleId="BrdtekstTegn">
    <w:name w:val="Brødtekst Tegn"/>
    <w:rPr>
      <w:rFonts w:cs="Times New Roman"/>
      <w:sz w:val="24"/>
      <w:szCs w:val="24"/>
    </w:rPr>
  </w:style>
  <w:style w:type="character" w:customStyle="1" w:styleId="BrdtekstinnrykkTegn">
    <w:name w:val="Brødtekstinnrykk Tegn"/>
    <w:rPr>
      <w:rFonts w:cs="Times New Roman"/>
      <w:sz w:val="24"/>
      <w:szCs w:val="24"/>
    </w:rPr>
  </w:style>
  <w:style w:type="character" w:styleId="Utheving">
    <w:name w:val="Emphasis"/>
    <w:basedOn w:val="Standardskriftforavsnitt"/>
    <w:rPr>
      <w:i/>
      <w:iCs/>
    </w:rPr>
  </w:style>
  <w:style w:type="character" w:customStyle="1" w:styleId="ListLabel1">
    <w:name w:val="ListLabel 1"/>
    <w:rPr>
      <w:rFonts w:cs="Times New Roman"/>
    </w:rPr>
  </w:style>
  <w:style w:type="character" w:customStyle="1" w:styleId="ListLabel2">
    <w:name w:val="ListLabel 2"/>
    <w:rPr>
      <w:rFonts w:cs="Times New Roman"/>
      <w:sz w:val="28"/>
      <w:szCs w:val="28"/>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Times New Roman"/>
    </w:rPr>
  </w:style>
  <w:style w:type="character" w:customStyle="1" w:styleId="ListLabel20">
    <w:name w:val="ListLabel 20"/>
    <w:rPr>
      <w:rFonts w:cs="Times New Roman"/>
      <w:sz w:val="28"/>
      <w:szCs w:val="28"/>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rFonts w:eastAsia="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IndexLink">
    <w:name w:val="Index Link"/>
  </w:style>
  <w:style w:type="numbering" w:customStyle="1" w:styleId="Ingenliste1">
    <w:name w:val="Ingen liste1"/>
    <w:basedOn w:val="Ingenliste"/>
    <w:pPr>
      <w:numPr>
        <w:numId w:val="2"/>
      </w:numPr>
    </w:pPr>
  </w:style>
  <w:style w:type="numbering" w:customStyle="1" w:styleId="WWNum1">
    <w:name w:val="WWNum1"/>
    <w:basedOn w:val="Ingenliste"/>
    <w:pPr>
      <w:numPr>
        <w:numId w:val="3"/>
      </w:numPr>
    </w:pPr>
  </w:style>
  <w:style w:type="numbering" w:customStyle="1" w:styleId="WWNum2">
    <w:name w:val="WWNum2"/>
    <w:basedOn w:val="Ingenliste"/>
    <w:pPr>
      <w:numPr>
        <w:numId w:val="4"/>
      </w:numPr>
    </w:pPr>
  </w:style>
  <w:style w:type="numbering" w:customStyle="1" w:styleId="WWNum3">
    <w:name w:val="WWNum3"/>
    <w:basedOn w:val="Ingenliste"/>
    <w:pPr>
      <w:numPr>
        <w:numId w:val="5"/>
      </w:numPr>
    </w:pPr>
  </w:style>
  <w:style w:type="numbering" w:customStyle="1" w:styleId="WWNum4">
    <w:name w:val="WWNum4"/>
    <w:basedOn w:val="Ingenliste"/>
    <w:pPr>
      <w:numPr>
        <w:numId w:val="6"/>
      </w:numPr>
    </w:pPr>
  </w:style>
  <w:style w:type="numbering" w:customStyle="1" w:styleId="WWNum5">
    <w:name w:val="WWNum5"/>
    <w:basedOn w:val="Ingenliste"/>
    <w:pPr>
      <w:numPr>
        <w:numId w:val="7"/>
      </w:numPr>
    </w:pPr>
  </w:style>
  <w:style w:type="numbering" w:customStyle="1" w:styleId="WWNum6">
    <w:name w:val="WWNum6"/>
    <w:basedOn w:val="Ingenliste"/>
    <w:pPr>
      <w:numPr>
        <w:numId w:val="8"/>
      </w:numPr>
    </w:pPr>
  </w:style>
  <w:style w:type="numbering" w:customStyle="1" w:styleId="WWNum7">
    <w:name w:val="WWNum7"/>
    <w:basedOn w:val="Ingenliste"/>
    <w:pPr>
      <w:numPr>
        <w:numId w:val="9"/>
      </w:numPr>
    </w:pPr>
  </w:style>
  <w:style w:type="numbering" w:customStyle="1" w:styleId="WWNum8">
    <w:name w:val="WWNum8"/>
    <w:basedOn w:val="Ingenliste"/>
    <w:pPr>
      <w:numPr>
        <w:numId w:val="10"/>
      </w:numPr>
    </w:pPr>
  </w:style>
  <w:style w:type="numbering" w:customStyle="1" w:styleId="WWNum9">
    <w:name w:val="WWNum9"/>
    <w:basedOn w:val="Ingenliste"/>
    <w:pPr>
      <w:numPr>
        <w:numId w:val="11"/>
      </w:numPr>
    </w:pPr>
  </w:style>
  <w:style w:type="numbering" w:customStyle="1" w:styleId="WWNum10">
    <w:name w:val="WWNum10"/>
    <w:basedOn w:val="Ingenliste"/>
    <w:pPr>
      <w:numPr>
        <w:numId w:val="12"/>
      </w:numPr>
    </w:pPr>
  </w:style>
  <w:style w:type="numbering" w:customStyle="1" w:styleId="WWNum11">
    <w:name w:val="WWNum11"/>
    <w:basedOn w:val="Ingenliste"/>
    <w:pPr>
      <w:numPr>
        <w:numId w:val="13"/>
      </w:numPr>
    </w:pPr>
  </w:style>
  <w:style w:type="numbering" w:customStyle="1" w:styleId="WWNum12">
    <w:name w:val="WWNum12"/>
    <w:basedOn w:val="Ingenliste"/>
    <w:pPr>
      <w:numPr>
        <w:numId w:val="14"/>
      </w:numPr>
    </w:pPr>
  </w:style>
  <w:style w:type="numbering" w:customStyle="1" w:styleId="WWNum13">
    <w:name w:val="WWNum13"/>
    <w:basedOn w:val="Ingenliste"/>
    <w:pPr>
      <w:numPr>
        <w:numId w:val="15"/>
      </w:numPr>
    </w:pPr>
  </w:style>
  <w:style w:type="numbering" w:customStyle="1" w:styleId="WWNum14">
    <w:name w:val="WWNum14"/>
    <w:basedOn w:val="Ingenliste"/>
    <w:pPr>
      <w:numPr>
        <w:numId w:val="16"/>
      </w:numPr>
    </w:pPr>
  </w:style>
  <w:style w:type="numbering" w:customStyle="1" w:styleId="WWNum15">
    <w:name w:val="WWNum15"/>
    <w:basedOn w:val="Ingenliste"/>
    <w:pPr>
      <w:numPr>
        <w:numId w:val="17"/>
      </w:numPr>
    </w:pPr>
  </w:style>
  <w:style w:type="character" w:styleId="Hyperkobling">
    <w:name w:val="Hyperlink"/>
    <w:basedOn w:val="Standardskriftforavsnitt"/>
    <w:uiPriority w:val="99"/>
    <w:unhideWhenUsed/>
    <w:rsid w:val="00C24BE4"/>
    <w:rPr>
      <w:color w:val="0000FF" w:themeColor="hyperlink"/>
      <w:u w:val="single"/>
    </w:rPr>
  </w:style>
  <w:style w:type="character" w:styleId="Ulstomtale">
    <w:name w:val="Unresolved Mention"/>
    <w:basedOn w:val="Standardskriftforavsnitt"/>
    <w:uiPriority w:val="99"/>
    <w:semiHidden/>
    <w:unhideWhenUsed/>
    <w:rsid w:val="002B6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mottak@froya.kommune.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mottak@froya.kommune.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as.sandvik@froya.kommune.no"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8F75015428F43AE54DBB220C890FE" ma:contentTypeVersion="11" ma:contentTypeDescription="Create a new document." ma:contentTypeScope="" ma:versionID="f6ef2eb615ad6790df070c285ff7ac3c">
  <xsd:schema xmlns:xsd="http://www.w3.org/2001/XMLSchema" xmlns:xs="http://www.w3.org/2001/XMLSchema" xmlns:p="http://schemas.microsoft.com/office/2006/metadata/properties" xmlns:ns3="ef321310-11ba-438e-b517-8ede034abe7d" xmlns:ns4="e37cb953-25a2-4f06-8463-8f090e2a6432" targetNamespace="http://schemas.microsoft.com/office/2006/metadata/properties" ma:root="true" ma:fieldsID="9e41000529c0f5ddb3fa7ae7ca89a902" ns3:_="" ns4:_="">
    <xsd:import namespace="ef321310-11ba-438e-b517-8ede034abe7d"/>
    <xsd:import namespace="e37cb953-25a2-4f06-8463-8f090e2a64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1310-11ba-438e-b517-8ede034ab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cb953-25a2-4f06-8463-8f090e2a6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BF344-2B47-473B-99C4-AEA2D7EC7CC0}">
  <ds:schemaRefs>
    <ds:schemaRef ds:uri="ef321310-11ba-438e-b517-8ede034abe7d"/>
    <ds:schemaRef ds:uri="http://purl.org/dc/elements/1.1/"/>
    <ds:schemaRef ds:uri="http://schemas.microsoft.com/office/2006/metadata/properties"/>
    <ds:schemaRef ds:uri="e37cb953-25a2-4f06-8463-8f090e2a64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B49CE5-8DE6-4B73-8E8E-328A8524C5E6}">
  <ds:schemaRefs>
    <ds:schemaRef ds:uri="http://schemas.microsoft.com/sharepoint/v3/contenttype/forms"/>
  </ds:schemaRefs>
</ds:datastoreItem>
</file>

<file path=customXml/itemProps3.xml><?xml version="1.0" encoding="utf-8"?>
<ds:datastoreItem xmlns:ds="http://schemas.openxmlformats.org/officeDocument/2006/customXml" ds:itemID="{918F8589-2DAF-4A77-AB0D-3ED07E51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1310-11ba-438e-b517-8ede034abe7d"/>
    <ds:schemaRef ds:uri="e37cb953-25a2-4f06-8463-8f090e2a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3077</Words>
  <Characters>16309</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Melhus Kommune</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Ingar Skjelvan Verstad</dc:creator>
  <cp:lastModifiedBy>Thomas Elier Sandvik</cp:lastModifiedBy>
  <cp:revision>10</cp:revision>
  <dcterms:created xsi:type="dcterms:W3CDTF">2023-05-12T06:23:00Z</dcterms:created>
  <dcterms:modified xsi:type="dcterms:W3CDTF">2023-05-23T10:44:00Z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0x0101004A08F75015428F43AE54DBB220C890FE</vt:lpwstr>
  </property>
</Properties>
</file>